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巴彦淖尔市重大行政决定法制审核事项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28"/>
        <w:gridCol w:w="4160"/>
        <w:gridCol w:w="1166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法制审核事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4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法制审核范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围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行政执法单位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重大行政处罚决定</w:t>
            </w:r>
          </w:p>
        </w:tc>
        <w:tc>
          <w:tcPr>
            <w:tcW w:w="4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</w:rPr>
              <w:t>涉及重大公共利益的；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2.直接关系当事人或者第三人重大权益，经过听证程序的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vertAlign w:val="baseline"/>
              </w:rPr>
              <w:t>（1）责令停产停业、责令关闭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vertAlign w:val="baseline"/>
              </w:rPr>
              <w:t>限制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或禁止</w:t>
            </w:r>
            <w:r>
              <w:rPr>
                <w:rFonts w:hint="eastAsia"/>
                <w:sz w:val="24"/>
                <w:szCs w:val="24"/>
                <w:vertAlign w:val="baseline"/>
              </w:rPr>
              <w:t>从业的;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（2）吊销许可证件或营业执照的;</w:t>
            </w:r>
          </w:p>
          <w:p>
            <w:pPr>
              <w:ind w:firstLine="0" w:firstLineChars="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（3）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对自然人、个体工商户</w:t>
            </w:r>
            <w:r>
              <w:rPr>
                <w:rFonts w:hint="eastAsia"/>
                <w:sz w:val="24"/>
                <w:szCs w:val="24"/>
                <w:vertAlign w:val="baseline"/>
              </w:rPr>
              <w:t>处以罚款、没收违法所得和非法财物单项或者合计价值总额达到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万元以上的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；对法人、其他组织</w:t>
            </w:r>
            <w:r>
              <w:rPr>
                <w:rFonts w:hint="eastAsia"/>
                <w:sz w:val="24"/>
                <w:szCs w:val="24"/>
                <w:vertAlign w:val="baseline"/>
              </w:rPr>
              <w:t>处以罚款、没收违法所得和非法财物单项或者合计价值总额达到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vertAlign w:val="baseline"/>
              </w:rPr>
              <w:t>万元以上的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vertAlign w:val="baseline"/>
              </w:rPr>
              <w:t>.案件情况疑难复杂、涉及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两</w:t>
            </w:r>
            <w:r>
              <w:rPr>
                <w:rFonts w:hint="eastAsia"/>
                <w:sz w:val="24"/>
                <w:szCs w:val="24"/>
                <w:vertAlign w:val="baseline"/>
              </w:rPr>
              <w:t>个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及以上</w:t>
            </w:r>
            <w:r>
              <w:rPr>
                <w:rFonts w:hint="eastAsia"/>
                <w:sz w:val="24"/>
                <w:szCs w:val="24"/>
                <w:vertAlign w:val="baseline"/>
              </w:rPr>
              <w:t>法律关系的；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5.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不予</w:t>
            </w:r>
            <w:r>
              <w:rPr>
                <w:rFonts w:hint="eastAsia"/>
                <w:sz w:val="30"/>
                <w:szCs w:val="30"/>
                <w:vertAlign w:val="baseline"/>
              </w:rPr>
              <w:t>行政处罚的；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2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重大行政许可决定</w:t>
            </w:r>
          </w:p>
        </w:tc>
        <w:tc>
          <w:tcPr>
            <w:tcW w:w="4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1.经听证程序作出行政许可决定的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或</w:t>
            </w:r>
            <w:r>
              <w:rPr>
                <w:rFonts w:hint="eastAsia"/>
                <w:sz w:val="32"/>
                <w:szCs w:val="32"/>
                <w:vertAlign w:val="baseline"/>
              </w:rPr>
              <w:t>经听证程序撒销行政许可决定的;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2. 因公共利益需要依法变更或者撤回生效的行政许可决定的。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许可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科室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重大行政强制措施</w:t>
            </w:r>
          </w:p>
        </w:tc>
        <w:tc>
          <w:tcPr>
            <w:tcW w:w="4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1.查封已持有合法许可证(照)的企业违法从事生产经营活动场所、设施的；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 xml:space="preserve">2.扣押较大价值财物的（价值金额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10万</w:t>
            </w:r>
            <w:r>
              <w:rPr>
                <w:rFonts w:hint="eastAsia"/>
                <w:sz w:val="32"/>
                <w:szCs w:val="32"/>
                <w:vertAlign w:val="baseline"/>
              </w:rPr>
              <w:t>元以上）。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科室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4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其他重大执法决定</w:t>
            </w:r>
          </w:p>
        </w:tc>
        <w:tc>
          <w:tcPr>
            <w:tcW w:w="4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法律、法规、规章规定或者需由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市</w:t>
            </w:r>
            <w:r>
              <w:rPr>
                <w:rFonts w:hint="eastAsia"/>
                <w:sz w:val="32"/>
                <w:szCs w:val="32"/>
                <w:vertAlign w:val="baseline"/>
              </w:rPr>
              <w:t>局负责人集体讨论作出的其他重大行政执法决定。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具体承办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</w:p>
        </w:tc>
        <w:tc>
          <w:tcPr>
            <w:tcW w:w="6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E87B3"/>
    <w:multiLevelType w:val="singleLevel"/>
    <w:tmpl w:val="FD5E87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24FB"/>
    <w:rsid w:val="04B23206"/>
    <w:rsid w:val="0AC624FB"/>
    <w:rsid w:val="62115A32"/>
    <w:rsid w:val="776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2025-06-13T09:40:00Z</dcterms:created>
  <dc:creator>PC1</dc:creator>
  <cp:lastModifiedBy>PC1</cp:lastModifiedBy>
  <dcterms:modified xsi:type="dcterms:W3CDTF">2025-06-13T09:41:13Z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