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outlineLvl w:val="0"/>
        <w:rPr>
          <w:rFonts w:hint="eastAsia" w:ascii="方正小标宋简体" w:hAnsi="方正小标宋简体" w:eastAsia="方正小标宋简体" w:cs="方正小标宋简体"/>
          <w:b/>
          <w:bCs w:val="0"/>
          <w:sz w:val="44"/>
          <w:szCs w:val="44"/>
        </w:rPr>
      </w:pPr>
      <w:bookmarkStart w:id="0" w:name="_Toc76683363"/>
      <w:bookmarkStart w:id="1" w:name="_Toc27865"/>
      <w:r>
        <w:rPr>
          <w:rFonts w:hint="eastAsia" w:ascii="方正小标宋简体" w:hAnsi="方正小标宋简体" w:eastAsia="方正小标宋简体" w:cs="方正小标宋简体"/>
          <w:b/>
          <w:bCs w:val="0"/>
          <w:sz w:val="44"/>
          <w:szCs w:val="44"/>
          <w:u w:val="single"/>
          <w:lang w:val="en-US" w:eastAsia="zh-CN"/>
        </w:rPr>
        <w:t>巴彦淖尔市</w:t>
      </w:r>
      <w:r>
        <w:rPr>
          <w:rFonts w:hint="eastAsia" w:ascii="方正小标宋简体" w:hAnsi="方正小标宋简体" w:eastAsia="方正小标宋简体" w:cs="方正小标宋简体"/>
          <w:b/>
          <w:bCs w:val="0"/>
          <w:sz w:val="44"/>
          <w:szCs w:val="44"/>
        </w:rPr>
        <w:t>市场监督管理局</w:t>
      </w:r>
      <w:bookmarkEnd w:id="0"/>
      <w:bookmarkEnd w:id="1"/>
    </w:p>
    <w:p>
      <w:pPr>
        <w:spacing w:line="640" w:lineRule="exact"/>
        <w:jc w:val="center"/>
        <w:outlineLvl w:val="0"/>
        <w:rPr>
          <w:rFonts w:ascii="Times New Roman" w:hAnsi="Times New Roman"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pPr>
        <w:widowControl/>
        <w:snapToGrid w:val="0"/>
        <w:spacing w:line="640" w:lineRule="exact"/>
        <w:ind w:right="55"/>
        <w:jc w:val="center"/>
        <w:outlineLvl w:val="1"/>
        <w:rPr>
          <w:rFonts w:hint="eastAsia" w:ascii="Times New Roman" w:hAnsi="仿宋_GB2312" w:eastAsia="仿宋_GB2312" w:cs="仿宋_GB2312"/>
          <w:bCs/>
          <w:color w:val="000000"/>
          <w:sz w:val="32"/>
          <w:szCs w:val="32"/>
        </w:rPr>
      </w:pPr>
      <w:r>
        <w:rPr>
          <w:rFonts w:hint="eastAsia" w:ascii="Times New Roman" w:hAnsi="Times New Roman" w:eastAsia="仿宋_GB2312" w:cs="仿宋_GB2312"/>
          <w:bCs/>
          <w:color w:val="000000"/>
          <w:sz w:val="32"/>
          <w:szCs w:val="32"/>
          <w:u w:val="single"/>
        </w:rPr>
        <w:t xml:space="preserve"> </w:t>
      </w:r>
      <w:r>
        <w:rPr>
          <w:rFonts w:hint="eastAsia" w:ascii="Times New Roman" w:hAnsi="Times New Roman" w:eastAsia="仿宋_GB2312" w:cs="仿宋_GB2312"/>
          <w:bCs/>
          <w:color w:val="000000"/>
          <w:sz w:val="32"/>
          <w:szCs w:val="32"/>
          <w:u w:val="single"/>
          <w:lang w:val="en-US" w:eastAsia="zh-CN"/>
        </w:rPr>
        <w:t>巴</w:t>
      </w:r>
      <w:r>
        <w:rPr>
          <w:rFonts w:hint="eastAsia" w:ascii="Times New Roman" w:hAnsi="仿宋_GB2312" w:eastAsia="仿宋_GB2312" w:cs="仿宋_GB2312"/>
          <w:bCs/>
          <w:color w:val="000000"/>
          <w:sz w:val="32"/>
          <w:szCs w:val="32"/>
        </w:rPr>
        <w:t>市监处罚〔</w:t>
      </w:r>
      <w:r>
        <w:rPr>
          <w:rFonts w:hint="eastAsia" w:ascii="Times New Roman" w:hAnsi="Times New Roman" w:eastAsia="仿宋_GB2312" w:cs="仿宋_GB2312"/>
          <w:bCs/>
          <w:color w:val="000000"/>
          <w:sz w:val="32"/>
          <w:szCs w:val="32"/>
          <w:u w:val="single"/>
          <w:lang w:val="en-US" w:eastAsia="zh-CN"/>
        </w:rPr>
        <w:t>2025</w:t>
      </w:r>
      <w:r>
        <w:rPr>
          <w:rFonts w:hint="eastAsia" w:ascii="Times New Roman" w:hAnsi="仿宋_GB2312" w:eastAsia="仿宋_GB2312" w:cs="仿宋_GB2312"/>
          <w:bCs/>
          <w:color w:val="000000"/>
          <w:sz w:val="32"/>
          <w:szCs w:val="32"/>
        </w:rPr>
        <w:t>〕</w:t>
      </w:r>
      <w:r>
        <w:rPr>
          <w:rFonts w:hint="eastAsia" w:ascii="Times New Roman" w:hAnsi="Times New Roman" w:eastAsia="仿宋_GB2312" w:cs="仿宋_GB2312"/>
          <w:bCs/>
          <w:color w:val="000000"/>
          <w:sz w:val="32"/>
          <w:szCs w:val="32"/>
          <w:u w:val="single"/>
        </w:rPr>
        <w:t xml:space="preserve"> </w:t>
      </w:r>
      <w:r>
        <w:rPr>
          <w:rFonts w:hint="eastAsia" w:ascii="Times New Roman" w:hAnsi="Times New Roman" w:eastAsia="仿宋_GB2312" w:cs="仿宋_GB2312"/>
          <w:bCs/>
          <w:color w:val="000000"/>
          <w:sz w:val="32"/>
          <w:szCs w:val="32"/>
          <w:u w:val="single"/>
          <w:lang w:val="en-US" w:eastAsia="zh-CN"/>
        </w:rPr>
        <w:t>2</w:t>
      </w:r>
      <w:r>
        <w:rPr>
          <w:rFonts w:hint="eastAsia" w:ascii="Times New Roman" w:hAnsi="Times New Roman" w:eastAsia="仿宋_GB2312" w:cs="仿宋_GB2312"/>
          <w:bCs/>
          <w:color w:val="000000"/>
          <w:sz w:val="32"/>
          <w:szCs w:val="32"/>
          <w:u w:val="single"/>
        </w:rPr>
        <w:t xml:space="preserve"> </w:t>
      </w:r>
      <w:r>
        <w:rPr>
          <w:rFonts w:hint="eastAsia" w:ascii="Times New Roman" w:hAnsi="仿宋_GB2312" w:eastAsia="仿宋_GB2312" w:cs="仿宋_GB2312"/>
          <w:bCs/>
          <w:color w:val="000000"/>
          <w:sz w:val="32"/>
          <w:szCs w:val="32"/>
        </w:rPr>
        <w:t>号</w:t>
      </w:r>
    </w:p>
    <w:p>
      <w:pPr>
        <w:widowControl/>
        <w:snapToGrid w:val="0"/>
        <w:spacing w:line="640" w:lineRule="exact"/>
        <w:ind w:right="55" w:firstLine="5440" w:firstLineChars="1700"/>
        <w:rPr>
          <w:rFonts w:hint="eastAsia" w:ascii="Times New Roman" w:hAnsi="Times New Roman" w:eastAsia="仿宋_GB2312" w:cs="Mongolian Baiti"/>
          <w:color w:val="000000"/>
          <w:sz w:val="32"/>
          <w:szCs w:val="32"/>
        </w:rPr>
      </w:pPr>
      <w:bookmarkStart w:id="3" w:name="_GoBack"/>
      <w:bookmarkEnd w:id="3"/>
      <w:r>
        <w:rPr>
          <w:rFonts w:hint="eastAsia" w:ascii="Times New Roman" w:hAnsi="Times New Roman" w:eastAsia="仿宋_GB2312" w:cs="Mongolian Baiti"/>
          <w:color w:val="000000"/>
          <w:sz w:val="32"/>
          <w:szCs w:val="32"/>
        </w:rPr>
        <mc:AlternateContent>
          <mc:Choice Requires="wps">
            <w:drawing>
              <wp:anchor distT="0" distB="0" distL="114300" distR="114300" simplePos="0" relativeHeight="251660288" behindDoc="0" locked="0" layoutInCell="1" allowOverlap="0">
                <wp:simplePos x="0" y="0"/>
                <wp:positionH relativeFrom="column">
                  <wp:posOffset>-38100</wp:posOffset>
                </wp:positionH>
                <wp:positionV relativeFrom="paragraph">
                  <wp:posOffset>20802600</wp:posOffset>
                </wp:positionV>
                <wp:extent cx="5761990" cy="0"/>
                <wp:effectExtent l="0" t="9525" r="13970" b="13335"/>
                <wp:wrapNone/>
                <wp:docPr id="3" name="直接箭头连接符 3"/>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60288;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Jn4c4oDAgAA+AMAAA4AAABkcnMvZTJvRG9jLnhtbK1TzW4T&#10;MRC+I/EOlu9kN61ayCqbHhLKBUEk4AEc27tryX/yuNnNS/ACSJyAE/TUO08D5TEYe9MUyiUH9uAd&#10;e2a+me/zeH4xGE22MoBytqbTSUmJtNwJZduavnt7+eQZJRCZFUw7K2u6k0AvFo8fzXtfyRPXOS1k&#10;IAhioep9TbsYfVUUwDtpGEyclxadjQuGRdyGthCB9YhudHFSludF74LwwXEJgKer0Un3iOEYQNc0&#10;isuV41dG2jiiBqlZRErQKQ90kbttGsnj66YBGYmuKTKNecUiaG/SWizmrGoD853i+xbYMS084GSY&#10;slj0ALVikZGroP6BMooHB66JE+5MMRLJiiCLaflAmzcd8zJzQanBH0SH/wfLX23XgShR01NKLDN4&#10;4bcfbn6+/3x7/e3Hp5tf3z8m++sXcpqk6j1UmLG067DfgV+HxHtogkl/ZESGLO/uIK8cIuF4ePb0&#10;fDqbofL8zlfcJ/oA8YV0hiSjphADU20Xl85avEQXplletn0JEUtj4l1Cqqot6XGWZ+VZQmc4lQ1O&#10;A5rGIzOwbU4Gp5W4VFqnFAjtZqkD2bI0GflLDBH4r7BUZcWgG+Oya5yZTjLx3AoSdx41s/hUaOrB&#10;SEGJlviykoWArIpM6WMisbS22EESeZQ1WXHYDHutN07ssvA5BAcit7sf3jRxf+4z0P2DXf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4Ky1v9YAAAAMAQAADwAAAAAAAAABACAAAAAiAAAAZHJzL2Rv&#10;d25yZXYueG1sUEsBAhQAFAAAAAgAh07iQJn4c4oDAgAA+AMAAA4AAAAAAAAAAQAgAAAAJQEAAGRy&#10;cy9lMm9Eb2MueG1sUEsFBgAAAAAGAAYAWQEAAJoFA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spacing w:line="640" w:lineRule="exact"/>
        <w:ind w:left="140" w:hanging="140"/>
        <w:rPr>
          <w:rFonts w:hint="eastAsia" w:ascii="Times New Roman" w:hAnsi="Times New Roman" w:eastAsia="仿宋_GB2312" w:cs="Mongolian Baiti"/>
          <w:bCs/>
          <w:color w:val="auto"/>
          <w:sz w:val="32"/>
          <w:szCs w:val="32"/>
        </w:rPr>
      </w:pPr>
      <w:r>
        <w:rPr>
          <w:rFonts w:hint="eastAsia" w:ascii="Times New Roman" w:hAnsi="Times New Roman" w:eastAsia="仿宋_GB2312" w:cs="Mongolian Baiti"/>
          <w:bCs/>
          <w:color w:val="auto"/>
          <w:kern w:val="1"/>
          <w:sz w:val="32"/>
          <w:szCs w:val="32"/>
        </w:rPr>
        <w:t>当事人：</w:t>
      </w:r>
      <w:r>
        <w:rPr>
          <w:rFonts w:hint="eastAsia" w:ascii="仿宋_GB2312" w:hAnsi="Times New Roman" w:eastAsia="仿宋_GB2312"/>
          <w:color w:val="auto"/>
          <w:sz w:val="32"/>
          <w:szCs w:val="32"/>
          <w:u w:val="single"/>
        </w:rPr>
        <w:t xml:space="preserve"> </w:t>
      </w:r>
      <w:r>
        <w:rPr>
          <w:rFonts w:hint="eastAsia" w:ascii="仿宋_GB2312" w:hAnsi="仿宋_GB2312" w:eastAsia="仿宋_GB2312" w:cs="仿宋_GB2312"/>
          <w:sz w:val="32"/>
          <w:szCs w:val="32"/>
          <w:u w:val="single"/>
          <w:lang w:val="en-US" w:eastAsia="zh-CN"/>
        </w:rPr>
        <w:t>内蒙古三进太阳绿色产业园区有限公司</w:t>
      </w:r>
      <w:r>
        <w:rPr>
          <w:rFonts w:hint="eastAsia" w:ascii="Times New Roman" w:hAnsi="Times New Roman" w:eastAsia="仿宋_GB2312" w:cs="Mongolian Baiti"/>
          <w:color w:val="auto"/>
          <w:kern w:val="1"/>
          <w:sz w:val="32"/>
          <w:szCs w:val="32"/>
          <w:u w:val="single"/>
          <w:lang w:val="en-US" w:eastAsia="zh-CN"/>
        </w:rPr>
        <w:t xml:space="preserve">        </w:t>
      </w:r>
      <w:r>
        <w:rPr>
          <w:rFonts w:hint="eastAsia" w:ascii="Times New Roman" w:hAnsi="Times New Roman" w:eastAsia="仿宋_GB2312" w:cs="Mongolian Baiti"/>
          <w:color w:val="auto"/>
          <w:kern w:val="1"/>
          <w:sz w:val="32"/>
          <w:szCs w:val="32"/>
          <w:u w:val="single"/>
        </w:rPr>
        <w:t xml:space="preserve"> </w:t>
      </w:r>
    </w:p>
    <w:p>
      <w:pPr>
        <w:spacing w:line="640" w:lineRule="exact"/>
        <w:ind w:left="140" w:hanging="140"/>
        <w:rPr>
          <w:rFonts w:hint="eastAsia" w:ascii="Times New Roman" w:hAnsi="Times New Roman" w:eastAsia="仿宋_GB2312" w:cs="Mongolian Baiti"/>
          <w:color w:val="auto"/>
          <w:sz w:val="32"/>
          <w:szCs w:val="32"/>
        </w:rPr>
      </w:pPr>
      <w:r>
        <w:rPr>
          <w:rFonts w:hint="eastAsia" w:ascii="Times New Roman" w:hAnsi="Times New Roman" w:eastAsia="仿宋_GB2312" w:cs="微软雅黑"/>
          <w:bCs/>
          <w:color w:val="auto"/>
          <w:kern w:val="1"/>
          <w:sz w:val="32"/>
          <w:szCs w:val="32"/>
        </w:rPr>
        <w:t>主体资格证照</w:t>
      </w:r>
      <w:r>
        <w:rPr>
          <w:rFonts w:hint="eastAsia" w:ascii="Times New Roman" w:hAnsi="Times New Roman" w:eastAsia="仿宋_GB2312" w:cs="Mongolian Baiti"/>
          <w:color w:val="auto"/>
          <w:kern w:val="1"/>
          <w:sz w:val="32"/>
          <w:szCs w:val="32"/>
        </w:rPr>
        <w:t>名称：</w:t>
      </w:r>
      <w:r>
        <w:rPr>
          <w:rFonts w:hint="eastAsia" w:ascii="Times New Roman" w:hAnsi="Times New Roman" w:eastAsia="仿宋_GB2312" w:cs="Mongolian Baiti"/>
          <w:color w:val="auto"/>
          <w:kern w:val="1"/>
          <w:sz w:val="32"/>
          <w:szCs w:val="32"/>
          <w:u w:val="single"/>
        </w:rPr>
        <w:t xml:space="preserve"> </w:t>
      </w:r>
      <w:r>
        <w:rPr>
          <w:rFonts w:hint="eastAsia" w:ascii="仿宋_GB2312" w:hAnsi="仿宋_GB2312" w:eastAsia="仿宋_GB2312" w:cs="仿宋_GB2312"/>
          <w:color w:val="auto"/>
          <w:sz w:val="32"/>
          <w:szCs w:val="32"/>
          <w:u w:val="single"/>
        </w:rPr>
        <w:t>营业执照</w:t>
      </w:r>
      <w:r>
        <w:rPr>
          <w:rFonts w:hint="eastAsia" w:ascii="Times New Roman" w:hAnsi="Times New Roman" w:eastAsia="仿宋_GB2312" w:cs="Mongolian Baiti"/>
          <w:color w:val="auto"/>
          <w:kern w:val="1"/>
          <w:sz w:val="32"/>
          <w:szCs w:val="32"/>
          <w:u w:val="single"/>
        </w:rPr>
        <w:t xml:space="preserve">                                     </w:t>
      </w:r>
    </w:p>
    <w:p>
      <w:pPr>
        <w:spacing w:line="640" w:lineRule="exact"/>
        <w:ind w:left="140" w:hanging="140"/>
        <w:rPr>
          <w:rFonts w:hint="eastAsia" w:ascii="Times New Roman" w:hAnsi="Times New Roman" w:eastAsia="仿宋_GB2312" w:cs="Mongolian Baiti"/>
          <w:color w:val="auto"/>
          <w:kern w:val="1"/>
          <w:sz w:val="32"/>
          <w:szCs w:val="32"/>
          <w:u w:val="single"/>
        </w:rPr>
      </w:pPr>
      <w:r>
        <w:rPr>
          <w:rFonts w:hint="eastAsia" w:ascii="Times New Roman" w:hAnsi="Times New Roman" w:eastAsia="仿宋_GB2312" w:cs="Mongolian Baiti"/>
          <w:color w:val="auto"/>
          <w:kern w:val="1"/>
          <w:sz w:val="32"/>
          <w:szCs w:val="32"/>
        </w:rPr>
        <w:t>统一社会信用代码：</w:t>
      </w:r>
      <w:r>
        <w:rPr>
          <w:rFonts w:hint="eastAsia" w:ascii="Times New Roman" w:hAnsi="Times New Roman" w:eastAsia="仿宋_GB2312" w:cs="Mongolian Baiti"/>
          <w:color w:val="auto"/>
          <w:kern w:val="1"/>
          <w:sz w:val="32"/>
          <w:szCs w:val="32"/>
          <w:u w:val="single"/>
        </w:rPr>
        <w:t xml:space="preserve"> </w:t>
      </w:r>
      <w:r>
        <w:rPr>
          <w:rFonts w:hint="eastAsia" w:ascii="仿宋_GB2312" w:hAnsi="仿宋_GB2312" w:eastAsia="仿宋_GB2312" w:cs="仿宋_GB2312"/>
          <w:color w:val="auto"/>
          <w:kern w:val="1"/>
          <w:sz w:val="32"/>
          <w:szCs w:val="32"/>
          <w:u w:val="single"/>
        </w:rPr>
        <w:t>91150800MA0MWBUX27</w:t>
      </w:r>
      <w:r>
        <w:rPr>
          <w:rFonts w:hint="eastAsia" w:ascii="Times New Roman" w:hAnsi="Times New Roman" w:eastAsia="仿宋_GB2312" w:cs="Mongolian Baiti"/>
          <w:color w:val="auto"/>
          <w:kern w:val="1"/>
          <w:sz w:val="32"/>
          <w:szCs w:val="32"/>
          <w:u w:val="single"/>
          <w:lang w:val="en-US" w:eastAsia="zh-CN"/>
        </w:rPr>
        <w:t xml:space="preserve">  </w:t>
      </w:r>
      <w:r>
        <w:rPr>
          <w:rFonts w:hint="eastAsia" w:ascii="Times New Roman" w:hAnsi="Times New Roman" w:eastAsia="仿宋_GB2312" w:cs="Mongolian Baiti"/>
          <w:color w:val="auto"/>
          <w:kern w:val="1"/>
          <w:sz w:val="32"/>
          <w:szCs w:val="32"/>
          <w:u w:val="single"/>
        </w:rPr>
        <w:t xml:space="preserve">      </w:t>
      </w:r>
      <w:r>
        <w:rPr>
          <w:rFonts w:hint="eastAsia" w:ascii="Times New Roman" w:hAnsi="Times New Roman" w:eastAsia="仿宋_GB2312" w:cs="Mongolian Baiti"/>
          <w:color w:val="auto"/>
          <w:kern w:val="1"/>
          <w:sz w:val="32"/>
          <w:szCs w:val="32"/>
          <w:u w:val="single"/>
          <w:lang w:val="en-US" w:eastAsia="zh-CN"/>
        </w:rPr>
        <w:t xml:space="preserve">    </w:t>
      </w:r>
      <w:r>
        <w:rPr>
          <w:rFonts w:hint="eastAsia" w:ascii="Times New Roman" w:hAnsi="Times New Roman" w:eastAsia="仿宋_GB2312" w:cs="Mongolian Baiti"/>
          <w:color w:val="auto"/>
          <w:kern w:val="1"/>
          <w:sz w:val="32"/>
          <w:szCs w:val="32"/>
          <w:u w:val="single"/>
        </w:rPr>
        <w:t xml:space="preserve">   </w:t>
      </w:r>
    </w:p>
    <w:p>
      <w:pPr>
        <w:spacing w:line="640" w:lineRule="exact"/>
        <w:ind w:left="0" w:leftChars="0" w:firstLine="0" w:firstLineChars="0"/>
        <w:rPr>
          <w:rFonts w:hint="default" w:ascii="Times New Roman" w:hAnsi="Times New Roman" w:eastAsia="仿宋_GB2312" w:cs="Mongolian Baiti"/>
          <w:color w:val="auto"/>
          <w:kern w:val="1"/>
          <w:sz w:val="32"/>
          <w:szCs w:val="32"/>
          <w:lang w:val="en-US" w:eastAsia="zh-CN"/>
        </w:rPr>
      </w:pPr>
      <w:r>
        <w:rPr>
          <w:rFonts w:hint="eastAsia" w:ascii="Times New Roman" w:hAnsi="Times New Roman" w:eastAsia="仿宋_GB2312" w:cs="Mongolian Baiti"/>
          <w:color w:val="auto"/>
          <w:kern w:val="1"/>
          <w:sz w:val="32"/>
          <w:szCs w:val="32"/>
        </w:rPr>
        <w:t>住所（住址）</w:t>
      </w:r>
      <w:r>
        <w:rPr>
          <w:rFonts w:hint="eastAsia" w:ascii="Times New Roman" w:hAnsi="Times New Roman" w:eastAsia="仿宋_GB2312" w:cs="Mongolian Baiti"/>
          <w:color w:val="auto"/>
          <w:kern w:val="1"/>
          <w:sz w:val="32"/>
          <w:szCs w:val="32"/>
          <w:lang w:eastAsia="zh-CN"/>
        </w:rPr>
        <w:t>：</w:t>
      </w:r>
      <w:r>
        <w:rPr>
          <w:rFonts w:hint="eastAsia" w:ascii="仿宋_GB2312" w:hAnsi="仿宋_GB2312" w:eastAsia="仿宋_GB2312" w:cs="仿宋_GB2312"/>
          <w:color w:val="auto"/>
          <w:sz w:val="32"/>
          <w:szCs w:val="32"/>
          <w:u w:val="single"/>
        </w:rPr>
        <w:t>内蒙古巴彦淖尔市磴口县朝霞路河套大市场B4-08B二层</w:t>
      </w:r>
      <w:r>
        <w:rPr>
          <w:rFonts w:hint="eastAsia" w:ascii="Times New Roman" w:hAnsi="Times New Roman" w:eastAsia="仿宋_GB2312" w:cs="Mongolian Baiti"/>
          <w:color w:val="auto"/>
          <w:kern w:val="1"/>
          <w:sz w:val="32"/>
          <w:szCs w:val="32"/>
          <w:u w:val="single"/>
        </w:rPr>
        <w:t xml:space="preserve">                 </w:t>
      </w:r>
      <w:r>
        <w:rPr>
          <w:rFonts w:hint="eastAsia" w:ascii="Times New Roman" w:hAnsi="Times New Roman" w:eastAsia="仿宋_GB2312" w:cs="Mongolian Baiti"/>
          <w:color w:val="auto"/>
          <w:kern w:val="1"/>
          <w:sz w:val="32"/>
          <w:szCs w:val="32"/>
          <w:u w:val="single"/>
          <w:lang w:val="en-US" w:eastAsia="zh-CN"/>
        </w:rPr>
        <w:t xml:space="preserve">                         </w:t>
      </w:r>
    </w:p>
    <w:p>
      <w:pPr>
        <w:spacing w:line="640" w:lineRule="exact"/>
        <w:rPr>
          <w:rFonts w:hint="eastAsia" w:ascii="Times New Roman" w:hAnsi="Times New Roman" w:eastAsia="仿宋_GB2312" w:cs="Mongolian Baiti"/>
          <w:color w:val="auto"/>
          <w:kern w:val="1"/>
          <w:sz w:val="32"/>
          <w:szCs w:val="32"/>
        </w:rPr>
      </w:pPr>
      <w:r>
        <w:rPr>
          <w:rFonts w:hint="eastAsia" w:ascii="Times New Roman" w:hAnsi="Times New Roman" w:eastAsia="仿宋_GB2312" w:cs="Mongolian Baiti"/>
          <w:color w:val="auto"/>
          <w:kern w:val="1"/>
          <w:sz w:val="32"/>
          <w:szCs w:val="32"/>
        </w:rPr>
        <w:t>法定代表人（负责人</w:t>
      </w:r>
      <w:r>
        <w:rPr>
          <w:rFonts w:hint="eastAsia" w:ascii="Times New Roman" w:hAnsi="Times New Roman" w:eastAsia="仿宋_GB2312" w:cs="Mongolian Baiti"/>
          <w:color w:val="auto"/>
          <w:kern w:val="1"/>
          <w:sz w:val="32"/>
          <w:szCs w:val="32"/>
          <w:lang w:eastAsia="zh-CN"/>
        </w:rPr>
        <w:t>、经营者</w:t>
      </w:r>
      <w:r>
        <w:rPr>
          <w:rFonts w:hint="eastAsia" w:ascii="Times New Roman" w:hAnsi="Times New Roman" w:eastAsia="仿宋_GB2312" w:cs="Mongolian Baiti"/>
          <w:color w:val="auto"/>
          <w:kern w:val="1"/>
          <w:sz w:val="32"/>
          <w:szCs w:val="32"/>
        </w:rPr>
        <w:t>）：</w:t>
      </w:r>
      <w:r>
        <w:rPr>
          <w:rFonts w:hint="eastAsia" w:ascii="Times New Roman" w:hAnsi="Times New Roman" w:eastAsia="仿宋_GB2312" w:cs="Mongolian Baiti"/>
          <w:color w:val="auto"/>
          <w:kern w:val="1"/>
          <w:sz w:val="32"/>
          <w:szCs w:val="32"/>
          <w:u w:val="single"/>
        </w:rPr>
        <w:t xml:space="preserve"> </w:t>
      </w:r>
      <w:r>
        <w:rPr>
          <w:rFonts w:hint="eastAsia" w:ascii="仿宋_GB2312" w:hAnsi="仿宋_GB2312" w:eastAsia="仿宋_GB2312" w:cs="仿宋_GB2312"/>
          <w:sz w:val="32"/>
          <w:szCs w:val="32"/>
          <w:u w:val="single"/>
          <w:lang w:eastAsia="zh-CN"/>
        </w:rPr>
        <w:t>田甲水</w:t>
      </w:r>
      <w:r>
        <w:rPr>
          <w:rFonts w:hint="eastAsia" w:ascii="Times New Roman" w:hAnsi="Times New Roman" w:eastAsia="仿宋_GB2312" w:cs="Mongolian Baiti"/>
          <w:color w:val="auto"/>
          <w:kern w:val="1"/>
          <w:sz w:val="32"/>
          <w:szCs w:val="32"/>
          <w:u w:val="single"/>
          <w:lang w:val="en-US" w:eastAsia="zh-CN"/>
        </w:rPr>
        <w:t xml:space="preserve">  </w:t>
      </w:r>
      <w:r>
        <w:rPr>
          <w:rFonts w:hint="eastAsia" w:ascii="Times New Roman" w:hAnsi="Times New Roman" w:eastAsia="仿宋_GB2312" w:cs="Mongolian Baiti"/>
          <w:color w:val="auto"/>
          <w:kern w:val="1"/>
          <w:sz w:val="32"/>
          <w:szCs w:val="32"/>
          <w:u w:val="single"/>
        </w:rPr>
        <w:t xml:space="preserve">              </w:t>
      </w:r>
    </w:p>
    <w:p>
      <w:pPr>
        <w:spacing w:line="640" w:lineRule="exact"/>
        <w:ind w:left="140" w:hanging="140"/>
        <w:rPr>
          <w:rFonts w:hint="eastAsia" w:ascii="Times New Roman" w:hAnsi="Times New Roman" w:eastAsia="仿宋_GB2312" w:cs="Mongolian Baiti"/>
          <w:b w:val="0"/>
          <w:bCs w:val="0"/>
          <w:color w:val="auto"/>
          <w:kern w:val="1"/>
          <w:sz w:val="32"/>
          <w:szCs w:val="32"/>
          <w:u w:val="single"/>
        </w:rPr>
      </w:pPr>
      <w:r>
        <w:rPr>
          <w:rFonts w:hint="eastAsia" w:ascii="仿宋_GB2312" w:hAnsi="仿宋_GB2312" w:eastAsia="仿宋_GB2312" w:cs="仿宋_GB2312"/>
          <w:color w:val="auto"/>
          <w:kern w:val="1"/>
          <w:sz w:val="32"/>
          <w:szCs w:val="32"/>
        </w:rPr>
        <w:t>其他联系方式：</w:t>
      </w:r>
      <w:r>
        <w:rPr>
          <w:rFonts w:hint="eastAsia" w:ascii="仿宋_GB2312" w:hAnsi="仿宋_GB2312" w:eastAsia="仿宋_GB2312" w:cs="仿宋_GB2312"/>
          <w:color w:val="auto"/>
          <w:kern w:val="1"/>
          <w:sz w:val="32"/>
          <w:szCs w:val="32"/>
          <w:u w:val="single"/>
        </w:rPr>
        <w:t xml:space="preserve"> </w:t>
      </w:r>
      <w:r>
        <w:rPr>
          <w:rFonts w:hint="eastAsia" w:ascii="仿宋_GB2312" w:hAnsi="仿宋_GB2312" w:eastAsia="仿宋_GB2312" w:cs="仿宋_GB2312"/>
          <w:color w:val="auto"/>
          <w:kern w:val="1"/>
          <w:sz w:val="32"/>
          <w:szCs w:val="32"/>
          <w:u w:val="single"/>
          <w:lang w:eastAsia="zh-CN"/>
        </w:rPr>
        <w:t>无</w:t>
      </w:r>
      <w:r>
        <w:rPr>
          <w:rFonts w:hint="eastAsia" w:ascii="仿宋_GB2312" w:hAnsi="仿宋_GB2312" w:eastAsia="仿宋_GB2312" w:cs="仿宋_GB2312"/>
          <w:color w:val="auto"/>
          <w:kern w:val="1"/>
          <w:sz w:val="32"/>
          <w:szCs w:val="32"/>
          <w:u w:val="single"/>
        </w:rPr>
        <w:t xml:space="preserve">           </w:t>
      </w:r>
      <w:r>
        <w:rPr>
          <w:rFonts w:hint="eastAsia" w:ascii="Times New Roman" w:hAnsi="Times New Roman" w:eastAsia="仿宋_GB2312" w:cs="Mongolian Baiti"/>
          <w:b w:val="0"/>
          <w:bCs w:val="0"/>
          <w:color w:val="auto"/>
          <w:kern w:val="1"/>
          <w:sz w:val="32"/>
          <w:szCs w:val="32"/>
          <w:u w:val="single"/>
        </w:rPr>
        <w:t xml:space="preserve">                  </w:t>
      </w:r>
    </w:p>
    <w:p>
      <w:pPr>
        <w:pStyle w:val="2"/>
        <w:tabs>
          <w:tab w:val="left" w:pos="9060"/>
        </w:tabs>
        <w:autoSpaceDE/>
        <w:autoSpaceDN/>
        <w:spacing w:line="640" w:lineRule="exact"/>
        <w:ind w:firstLine="640" w:firstLineChars="200"/>
        <w:jc w:val="both"/>
        <w:rPr>
          <w:rFonts w:hint="default" w:ascii="Times New Roman" w:eastAsia="仿宋_GB2312" w:cs="仿宋_GB2312"/>
          <w:b w:val="0"/>
          <w:bCs w:val="0"/>
          <w:strike/>
          <w:color w:val="auto"/>
          <w:u w:val="single"/>
          <w:shd w:val="clear" w:color="FFFFFF" w:fill="D9D9D9"/>
          <w:lang w:val="en-US" w:eastAsia="zh-CN"/>
        </w:rPr>
      </w:pPr>
      <w:r>
        <w:rPr>
          <w:rFonts w:hint="eastAsia" w:ascii="仿宋_GB2312" w:hAnsi="仿宋_GB2312" w:eastAsia="仿宋_GB2312" w:cs="仿宋_GB2312"/>
          <w:color w:val="auto"/>
          <w:sz w:val="32"/>
          <w:szCs w:val="32"/>
          <w:u w:val="single"/>
        </w:rPr>
        <w:t>2024年11月27日，我局执法人员按照自治区市场监督管理局《自治区市场监管局关于责令限期履行相关义务的通知》（内市监信字〔2024〕276号）文件统一安排部署，对市本级辖区内未按有关规定公示2021、2022年度报告，已被</w:t>
      </w:r>
      <w:r>
        <w:rPr>
          <w:rFonts w:hint="eastAsia" w:ascii="仿宋_GB2312" w:hAnsi="仿宋_GB2312" w:eastAsia="仿宋_GB2312" w:cs="仿宋_GB2312"/>
          <w:color w:val="auto"/>
          <w:sz w:val="32"/>
          <w:szCs w:val="32"/>
          <w:u w:val="single"/>
          <w:lang w:eastAsia="zh-CN"/>
        </w:rPr>
        <w:t>我</w:t>
      </w:r>
      <w:r>
        <w:rPr>
          <w:rFonts w:hint="eastAsia" w:ascii="仿宋_GB2312" w:hAnsi="仿宋_GB2312" w:eastAsia="仿宋_GB2312" w:cs="仿宋_GB2312"/>
          <w:color w:val="auto"/>
          <w:sz w:val="32"/>
          <w:szCs w:val="32"/>
          <w:u w:val="single"/>
        </w:rPr>
        <w:t>局依法列入经营异常名录的企业进行核实处置。经核查发现内蒙古三进太阳绿色产业园区有限公司 2021年度、2022年度、2023年度未按照规定报送年度报告被列入经营异常名录未改正且通过登记住所或者营业场所无法取得联系。当事人上述行为违反了《企业信息公示暂行条例》第十八条第一款之规定，构成连续2年不按规定报送年度报告被列入经营异常名录未改正，且通过登记的住所或者经营场所无法取得联系的违法行为，为了进一步查清事实，我局于2024年11月27日填写了《立案审批表》并附证据材料，报请领导批准立案，领导于2024年11月27日批准立案调查。</w:t>
      </w:r>
      <w:r>
        <w:rPr>
          <w:rFonts w:hint="eastAsia" w:ascii="Times New Roman" w:eastAsia="仿宋_GB2312" w:cs="仿宋_GB2312"/>
          <w:b w:val="0"/>
          <w:bCs w:val="0"/>
          <w:color w:val="auto"/>
          <w:u w:val="single"/>
          <w:lang w:val="en-US" w:eastAsia="zh-CN"/>
        </w:rPr>
        <w:t xml:space="preserve">   </w:t>
      </w:r>
    </w:p>
    <w:p>
      <w:pPr>
        <w:pStyle w:val="2"/>
        <w:tabs>
          <w:tab w:val="left" w:pos="8240"/>
        </w:tabs>
        <w:autoSpaceDE/>
        <w:autoSpaceDN/>
        <w:spacing w:line="640" w:lineRule="exact"/>
        <w:ind w:firstLine="640" w:firstLineChars="200"/>
        <w:jc w:val="both"/>
        <w:rPr>
          <w:rFonts w:hint="eastAsia" w:ascii="Times New Roman" w:eastAsia="仿宋_GB2312" w:cs="仿宋_GB2312"/>
          <w:color w:val="auto"/>
          <w:u w:val="single"/>
        </w:rPr>
      </w:pPr>
      <w:r>
        <w:rPr>
          <w:rFonts w:hint="eastAsia" w:ascii="Times New Roman" w:eastAsia="仿宋_GB2312" w:cs="Mongolian Baiti"/>
          <w:color w:val="auto"/>
          <w:kern w:val="1"/>
        </w:rPr>
        <w:t>经查，</w:t>
      </w:r>
      <w:r>
        <w:rPr>
          <w:rFonts w:hint="eastAsia" w:ascii="仿宋_GB2312" w:hAnsi="仿宋_GB2312" w:eastAsia="仿宋_GB2312" w:cs="仿宋_GB2312"/>
          <w:color w:val="auto"/>
          <w:sz w:val="32"/>
          <w:szCs w:val="32"/>
          <w:u w:val="single"/>
          <w:lang w:eastAsia="zh-CN"/>
        </w:rPr>
        <w:t>当事人</w:t>
      </w:r>
      <w:r>
        <w:rPr>
          <w:rFonts w:hint="eastAsia" w:ascii="仿宋_GB2312" w:hAnsi="仿宋_GB2312" w:eastAsia="仿宋_GB2312" w:cs="仿宋_GB2312"/>
          <w:color w:val="auto"/>
          <w:sz w:val="32"/>
          <w:szCs w:val="32"/>
          <w:u w:val="single"/>
        </w:rPr>
        <w:t>内蒙古三进太阳绿色产业园区有限公司于2015年11月23日成立 ，登记住所：内蒙古巴彦淖尔市磴口县朝霞路河套大市场B4-08B二层 ，田甲水于2015年11月4日担任法定代表人至今未变更，我局执法人员从内蒙古自治区市场监督管理局企业信息数据库、国家企业信用信息公示系统查询并截图，</w:t>
      </w:r>
      <w:r>
        <w:rPr>
          <w:rFonts w:hint="eastAsia" w:ascii="仿宋_GB2312" w:hAnsi="仿宋_GB2312" w:eastAsia="仿宋_GB2312" w:cs="仿宋_GB2312"/>
          <w:color w:val="auto"/>
          <w:sz w:val="32"/>
          <w:szCs w:val="32"/>
          <w:u w:val="single"/>
          <w:lang w:eastAsia="zh-CN"/>
        </w:rPr>
        <w:t>当事人</w:t>
      </w:r>
      <w:r>
        <w:rPr>
          <w:rFonts w:hint="eastAsia" w:ascii="仿宋_GB2312" w:hAnsi="仿宋_GB2312" w:eastAsia="仿宋_GB2312" w:cs="仿宋_GB2312"/>
          <w:color w:val="auto"/>
          <w:sz w:val="32"/>
          <w:szCs w:val="32"/>
          <w:u w:val="single"/>
        </w:rPr>
        <w:t>2021年度、2022年度、2023年度未依法报送企业年度报告被列入经营异常名录未改正。2024年6月2日、2024年6月24日，2024年11月18日，2024年12月11日,执法人员按照该企业登记的住所或者营业场所,以当事人法定代表人田甲水为收件人邮寄四次通知书的挂号信，均因无人签收被邮政部门退回。2024年11月7日对当事人登记的住所或者营业场所进行现场检查，在当事人登记的场所未取得联系，也没有该</w:t>
      </w:r>
      <w:r>
        <w:rPr>
          <w:rFonts w:hint="eastAsia" w:ascii="仿宋_GB2312" w:hAnsi="仿宋_GB2312" w:eastAsia="仿宋_GB2312" w:cs="仿宋_GB2312"/>
          <w:color w:val="auto"/>
          <w:sz w:val="32"/>
          <w:szCs w:val="32"/>
          <w:u w:val="single"/>
          <w:lang w:eastAsia="zh-CN"/>
        </w:rPr>
        <w:t>当事人</w:t>
      </w:r>
      <w:r>
        <w:rPr>
          <w:rFonts w:hint="eastAsia" w:ascii="仿宋_GB2312" w:hAnsi="仿宋_GB2312" w:eastAsia="仿宋_GB2312" w:cs="仿宋_GB2312"/>
          <w:color w:val="auto"/>
          <w:sz w:val="32"/>
          <w:szCs w:val="32"/>
          <w:u w:val="single"/>
        </w:rPr>
        <w:t>存在的任何标志，法定代表人联系电话也无法接通。</w:t>
      </w:r>
      <w:r>
        <w:rPr>
          <w:rFonts w:hint="eastAsia" w:ascii="Times New Roman" w:eastAsia="仿宋_GB2312" w:cs="仿宋_GB2312"/>
          <w:color w:val="auto"/>
          <w:u w:val="single"/>
          <w:lang w:val="en-US" w:eastAsia="zh-CN"/>
        </w:rPr>
        <w:t xml:space="preserve">                     </w:t>
      </w:r>
      <w:r>
        <w:rPr>
          <w:rFonts w:hint="eastAsia" w:ascii="Times New Roman" w:eastAsia="仿宋_GB2312" w:cs="仿宋_GB2312"/>
          <w:color w:val="auto"/>
          <w:u w:val="single"/>
        </w:rPr>
        <w:t xml:space="preserve"> </w:t>
      </w:r>
    </w:p>
    <w:p>
      <w:pPr>
        <w:spacing w:line="640" w:lineRule="exact"/>
        <w:ind w:firstLine="640" w:firstLineChars="200"/>
        <w:rPr>
          <w:rFonts w:ascii="Times New Roman" w:eastAsia="仿宋_GB2312" w:cs="Mongolian Baiti"/>
          <w:color w:val="auto"/>
          <w:kern w:val="1"/>
          <w:sz w:val="32"/>
          <w:szCs w:val="32"/>
        </w:rPr>
      </w:pPr>
      <w:r>
        <w:rPr>
          <w:rFonts w:ascii="Times New Roman" w:eastAsia="仿宋_GB2312" w:cs="Mongolian Baiti"/>
          <w:color w:val="auto"/>
          <w:kern w:val="1"/>
          <w:sz w:val="32"/>
          <w:szCs w:val="32"/>
        </w:rPr>
        <w:t>上述事实，主要有以下证据证明：</w:t>
      </w:r>
    </w:p>
    <w:p>
      <w:pPr>
        <w:spacing w:line="640" w:lineRule="exact"/>
        <w:ind w:firstLine="640" w:firstLineChars="200"/>
        <w:rPr>
          <w:rFonts w:hint="eastAsia" w:ascii="仿宋_GB2312" w:hAnsi="Times New Roman" w:eastAsia="仿宋_GB2312" w:cs="仿宋_GB2312"/>
          <w:color w:val="000000" w:themeColor="text1"/>
          <w:sz w:val="32"/>
          <w:szCs w:val="32"/>
          <w:u w:val="single"/>
          <w14:textFill>
            <w14:solidFill>
              <w14:schemeClr w14:val="tx1"/>
            </w14:solidFill>
          </w14:textFill>
        </w:rPr>
      </w:pPr>
      <w:r>
        <w:rPr>
          <w:rFonts w:hint="eastAsia" w:ascii="仿宋_GB2312" w:hAnsi="Times New Roman" w:eastAsia="仿宋_GB2312" w:cs="仿宋_GB2312"/>
          <w:color w:val="000000" w:themeColor="text1"/>
          <w:sz w:val="32"/>
          <w:szCs w:val="32"/>
          <w:u w:val="single"/>
          <w14:textFill>
            <w14:solidFill>
              <w14:schemeClr w14:val="tx1"/>
            </w14:solidFill>
          </w14:textFill>
        </w:rPr>
        <w:t xml:space="preserve">1.2024年5月23日，巴彦淖尔市市场监督管理局下发了《巴彦淖尔市市场监督管理局关于责令限期履行相关义务的通知》巴市监办发〔2024〕212号文件， 证明以公告形式责令包括当事人在内的企业限期履行公示义务或依法办理注销登记，逾期未履行公示义务或办理注销登记的，属地市场监管部门将在调查核实的基础上，依法执行吊销营业执照。   </w:t>
      </w:r>
    </w:p>
    <w:p>
      <w:pPr>
        <w:spacing w:line="640" w:lineRule="exact"/>
        <w:ind w:firstLine="640" w:firstLineChars="200"/>
        <w:rPr>
          <w:rFonts w:hint="eastAsia" w:ascii="仿宋_GB2312" w:hAnsi="Times New Roman" w:eastAsia="仿宋_GB2312" w:cs="仿宋_GB2312"/>
          <w:color w:val="000000" w:themeColor="text1"/>
          <w:sz w:val="32"/>
          <w:szCs w:val="32"/>
          <w:u w:val="single"/>
          <w14:textFill>
            <w14:solidFill>
              <w14:schemeClr w14:val="tx1"/>
            </w14:solidFill>
          </w14:textFill>
        </w:rPr>
      </w:pPr>
      <w:r>
        <w:rPr>
          <w:rFonts w:hint="eastAsia" w:ascii="仿宋_GB2312" w:hAnsi="Times New Roman" w:eastAsia="仿宋_GB2312" w:cs="仿宋_GB2312"/>
          <w:color w:val="000000" w:themeColor="text1"/>
          <w:sz w:val="32"/>
          <w:szCs w:val="32"/>
          <w:u w:val="single"/>
          <w14:textFill>
            <w14:solidFill>
              <w14:schemeClr w14:val="tx1"/>
            </w14:solidFill>
          </w14:textFill>
        </w:rPr>
        <w:t xml:space="preserve">2.2024年6月2日、6月24日，11月18日，12月11日我局执法人员通过邮政快递APP查询邮寄给当事人的挂号信均因无人签收被邮政部门退回，证明使用邮寄的方式通过当事人登记住所或经营场所无法与当事人取得联系。                        </w:t>
      </w:r>
    </w:p>
    <w:p>
      <w:pPr>
        <w:spacing w:line="640" w:lineRule="exact"/>
        <w:ind w:firstLine="640" w:firstLineChars="200"/>
        <w:rPr>
          <w:rFonts w:hint="eastAsia" w:ascii="仿宋_GB2312" w:hAnsi="Times New Roman" w:eastAsia="仿宋_GB2312" w:cs="仿宋_GB2312"/>
          <w:color w:val="000000" w:themeColor="text1"/>
          <w:sz w:val="32"/>
          <w:szCs w:val="32"/>
          <w:u w:val="single"/>
          <w14:textFill>
            <w14:solidFill>
              <w14:schemeClr w14:val="tx1"/>
            </w14:solidFill>
          </w14:textFill>
        </w:rPr>
      </w:pPr>
      <w:r>
        <w:rPr>
          <w:rFonts w:hint="eastAsia" w:ascii="仿宋_GB2312" w:hAnsi="Times New Roman" w:eastAsia="仿宋_GB2312" w:cs="仿宋_GB2312"/>
          <w:color w:val="000000" w:themeColor="text1"/>
          <w:sz w:val="32"/>
          <w:szCs w:val="32"/>
          <w:u w:val="single"/>
          <w14:textFill>
            <w14:solidFill>
              <w14:schemeClr w14:val="tx1"/>
            </w14:solidFill>
          </w14:textFill>
        </w:rPr>
        <w:t xml:space="preserve">3.2024年8月9日，我局执法人员从内蒙古自治区市场监督管理局企业信息数据库、国家企业信用信息公示系统查询企业信息并提取打印各一份，证明2021年度、2022年度、2023年度当事人未依法报送企业年度报告被列入经营异常名录后未补报公示年报信息并申请移出异常名录的情况。                                    </w:t>
      </w:r>
    </w:p>
    <w:p>
      <w:pPr>
        <w:spacing w:line="640" w:lineRule="exact"/>
        <w:ind w:firstLine="640" w:firstLineChars="200"/>
        <w:rPr>
          <w:rFonts w:hint="eastAsia" w:ascii="仿宋_GB2312" w:hAnsi="Times New Roman" w:eastAsia="仿宋_GB2312" w:cs="仿宋_GB2312"/>
          <w:color w:val="000000" w:themeColor="text1"/>
          <w:sz w:val="32"/>
          <w:szCs w:val="32"/>
          <w:u w:val="single"/>
          <w14:textFill>
            <w14:solidFill>
              <w14:schemeClr w14:val="tx1"/>
            </w14:solidFill>
          </w14:textFill>
        </w:rPr>
      </w:pPr>
      <w:r>
        <w:rPr>
          <w:rFonts w:hint="eastAsia" w:ascii="仿宋_GB2312" w:hAnsi="Times New Roman" w:eastAsia="仿宋_GB2312" w:cs="仿宋_GB2312"/>
          <w:color w:val="000000" w:themeColor="text1"/>
          <w:sz w:val="32"/>
          <w:szCs w:val="32"/>
          <w:u w:val="single"/>
          <w14:textFill>
            <w14:solidFill>
              <w14:schemeClr w14:val="tx1"/>
            </w14:solidFill>
          </w14:textFill>
        </w:rPr>
        <w:t>4.2024年11月6日，我局执法人员从</w:t>
      </w:r>
      <w:r>
        <w:rPr>
          <w:rFonts w:hint="eastAsia" w:ascii="仿宋_GB2312" w:hAnsi="Times New Roman" w:eastAsia="仿宋_GB2312" w:cs="仿宋_GB2312"/>
          <w:color w:val="000000" w:themeColor="text1"/>
          <w:sz w:val="32"/>
          <w:szCs w:val="32"/>
          <w:u w:val="single"/>
          <w:lang w:eastAsia="zh-CN"/>
          <w14:textFill>
            <w14:solidFill>
              <w14:schemeClr w14:val="tx1"/>
            </w14:solidFill>
          </w14:textFill>
        </w:rPr>
        <w:t>我</w:t>
      </w:r>
      <w:r>
        <w:rPr>
          <w:rFonts w:hint="eastAsia" w:ascii="仿宋_GB2312" w:hAnsi="Times New Roman" w:eastAsia="仿宋_GB2312" w:cs="仿宋_GB2312"/>
          <w:color w:val="000000" w:themeColor="text1"/>
          <w:sz w:val="32"/>
          <w:szCs w:val="32"/>
          <w:u w:val="single"/>
          <w14:textFill>
            <w14:solidFill>
              <w14:schemeClr w14:val="tx1"/>
            </w14:solidFill>
          </w14:textFill>
        </w:rPr>
        <w:t>局登记注册纸质档案中提取复印该公司《公司章程》第一页1份、董事委派书1份、法定代表人身份复印件1份、注册时提供的房屋场地证明1份、外商投资企业名称预先核准通知书1份，外商投资企业批准证书复印件一份，证明公司登记注册基本信息及住所地址至今未发生变更登记等相关情况。</w:t>
      </w:r>
      <w:r>
        <w:rPr>
          <w:rFonts w:hint="eastAsia" w:ascii="仿宋_GB2312" w:hAnsi="Times New Roman"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Times New Roman" w:eastAsia="仿宋_GB2312" w:cs="仿宋_GB2312"/>
          <w:color w:val="000000" w:themeColor="text1"/>
          <w:sz w:val="32"/>
          <w:szCs w:val="32"/>
          <w:u w:val="single"/>
          <w14:textFill>
            <w14:solidFill>
              <w14:schemeClr w14:val="tx1"/>
            </w14:solidFill>
          </w14:textFill>
        </w:rPr>
        <w:t xml:space="preserve">    </w:t>
      </w:r>
    </w:p>
    <w:p>
      <w:pPr>
        <w:spacing w:line="640" w:lineRule="exact"/>
        <w:ind w:firstLine="640" w:firstLineChars="200"/>
        <w:rPr>
          <w:rFonts w:hint="default" w:ascii="仿宋_GB2312" w:hAnsi="Times New Roman" w:eastAsia="仿宋_GB2312" w:cs="仿宋_GB2312"/>
          <w:color w:val="000000" w:themeColor="text1"/>
          <w:sz w:val="32"/>
          <w:szCs w:val="32"/>
          <w:u w:val="single"/>
          <w:lang w:val="en-US" w:eastAsia="zh-CN"/>
          <w14:textFill>
            <w14:solidFill>
              <w14:schemeClr w14:val="tx1"/>
            </w14:solidFill>
          </w14:textFill>
        </w:rPr>
      </w:pPr>
      <w:r>
        <w:rPr>
          <w:rFonts w:hint="eastAsia" w:ascii="仿宋_GB2312" w:hAnsi="Times New Roman" w:eastAsia="仿宋_GB2312" w:cs="仿宋_GB2312"/>
          <w:color w:val="000000" w:themeColor="text1"/>
          <w:sz w:val="32"/>
          <w:szCs w:val="32"/>
          <w:u w:val="single"/>
          <w14:textFill>
            <w14:solidFill>
              <w14:schemeClr w14:val="tx1"/>
            </w14:solidFill>
          </w14:textFill>
        </w:rPr>
        <w:t>5.2024年11月7日，我局执法人员对当事人登记住所进行了核查，制作《现场笔录》1份，现场照片3张，证明经见证人确认的当事人登记住所或者营业场所非为当事人使用及无法在该住所与当事人取得联系等情况。</w:t>
      </w:r>
      <w:r>
        <w:rPr>
          <w:rFonts w:hint="eastAsia" w:ascii="仿宋_GB2312" w:hAnsi="Times New Roman" w:eastAsia="仿宋_GB2312" w:cs="仿宋_GB2312"/>
          <w:color w:val="000000" w:themeColor="text1"/>
          <w:sz w:val="32"/>
          <w:szCs w:val="32"/>
          <w:u w:val="single"/>
          <w:lang w:val="en-US" w:eastAsia="zh-CN"/>
          <w14:textFill>
            <w14:solidFill>
              <w14:schemeClr w14:val="tx1"/>
            </w14:solidFill>
          </w14:textFill>
        </w:rPr>
        <w:t xml:space="preserve">            </w:t>
      </w:r>
    </w:p>
    <w:p>
      <w:pPr>
        <w:pStyle w:val="2"/>
        <w:tabs>
          <w:tab w:val="left" w:pos="9060"/>
        </w:tabs>
        <w:autoSpaceDE/>
        <w:autoSpaceDN/>
        <w:spacing w:line="640" w:lineRule="exact"/>
        <w:ind w:firstLine="640" w:firstLineChars="200"/>
        <w:jc w:val="both"/>
        <w:rPr>
          <w:rFonts w:hint="eastAsia" w:ascii="Times New Roman" w:eastAsia="仿宋_GB2312" w:cs="仿宋_GB2312"/>
          <w:color w:val="auto"/>
          <w:u w:val="single"/>
        </w:rPr>
      </w:pPr>
      <w:r>
        <w:rPr>
          <w:rFonts w:hint="eastAsia" w:ascii="仿宋_GB2312" w:hAnsi="仿宋_GB2312" w:eastAsia="仿宋_GB2312" w:cs="仿宋_GB2312"/>
          <w:color w:val="auto"/>
          <w:u w:val="single"/>
          <w:lang w:val="en-US" w:eastAsia="zh-CN"/>
        </w:rPr>
        <w:t>2025年1月21日，我局通过“巴彦淖尔市市场监督管理局官网”</w:t>
      </w:r>
      <w:r>
        <w:rPr>
          <w:rFonts w:hint="eastAsia" w:ascii="Times New Roman" w:eastAsia="仿宋_GB2312" w:cs="仿宋_GB2312"/>
          <w:color w:val="auto"/>
          <w:u w:val="single"/>
          <w:lang w:eastAsia="zh-CN"/>
        </w:rPr>
        <w:t>和“巴彦淖尔市市场监督管理局微信公众号”向当事人公告送达了《行政处罚告知书》（</w:t>
      </w:r>
      <w:r>
        <w:rPr>
          <w:rFonts w:hint="eastAsia" w:ascii="Times New Roman" w:eastAsia="仿宋_GB2312" w:cs="仿宋_GB2312"/>
          <w:color w:val="auto"/>
          <w:u w:val="single"/>
        </w:rPr>
        <w:t>巴市监罚告〔2025〕2号</w:t>
      </w:r>
      <w:r>
        <w:rPr>
          <w:rFonts w:hint="eastAsia" w:ascii="Times New Roman" w:eastAsia="仿宋_GB2312" w:cs="仿宋_GB2312"/>
          <w:color w:val="auto"/>
          <w:u w:val="single"/>
          <w:lang w:eastAsia="zh-CN"/>
        </w:rPr>
        <w:t>），告知当事人我局拟作出行政处罚的事实、理由、依据以及当事人依法享有陈述、申辩和听证的权利，当事人在法定期限内未提出陈述、申辩和听证要求。</w:t>
      </w:r>
      <w:r>
        <w:rPr>
          <w:rFonts w:hint="eastAsia" w:ascii="Times New Roman" w:eastAsia="仿宋_GB2312" w:cs="仿宋_GB2312"/>
          <w:color w:val="auto"/>
          <w:u w:val="single"/>
        </w:rPr>
        <w:t xml:space="preserve">                     </w:t>
      </w:r>
      <w:r>
        <w:rPr>
          <w:rFonts w:hint="eastAsia" w:ascii="Times New Roman" w:eastAsia="仿宋_GB2312" w:cs="仿宋_GB2312"/>
          <w:color w:val="auto"/>
          <w:u w:val="single"/>
          <w:lang w:val="en-US" w:eastAsia="zh-CN"/>
        </w:rPr>
        <w:t xml:space="preserve">                  </w:t>
      </w:r>
      <w:r>
        <w:rPr>
          <w:rFonts w:hint="eastAsia" w:ascii="Times New Roman" w:eastAsia="仿宋_GB2312" w:cs="仿宋_GB2312"/>
          <w:color w:val="auto"/>
          <w:u w:val="single"/>
        </w:rPr>
        <w:t xml:space="preserve">     </w:t>
      </w:r>
    </w:p>
    <w:p>
      <w:pPr>
        <w:pStyle w:val="2"/>
        <w:tabs>
          <w:tab w:val="left" w:pos="8405"/>
        </w:tabs>
        <w:autoSpaceDE/>
        <w:autoSpaceDN/>
        <w:spacing w:line="640" w:lineRule="exact"/>
        <w:ind w:firstLine="627" w:firstLineChars="196"/>
        <w:jc w:val="both"/>
        <w:rPr>
          <w:rFonts w:hint="default" w:ascii="Droid Sans Fallback" w:eastAsia="仿宋_GB2312"/>
          <w:color w:val="auto"/>
          <w:sz w:val="23"/>
          <w:lang w:val="en-US" w:eastAsia="zh-CN"/>
        </w:rPr>
      </w:pPr>
      <w:r>
        <w:rPr>
          <w:rFonts w:hint="eastAsia" w:ascii="仿宋_GB2312" w:eastAsia="仿宋_GB2312" w:cs="Mongolian Baiti"/>
          <w:b w:val="0"/>
          <w:bCs w:val="0"/>
          <w:color w:val="auto"/>
          <w:kern w:val="1"/>
        </w:rPr>
        <w:t>本局认为</w:t>
      </w:r>
      <w:r>
        <w:rPr>
          <w:rFonts w:hint="eastAsia" w:ascii="仿宋_GB2312" w:eastAsia="仿宋_GB2312" w:cs="Mongolian Baiti"/>
          <w:color w:val="auto"/>
          <w:kern w:val="1"/>
        </w:rPr>
        <w:t>，</w:t>
      </w:r>
      <w:r>
        <w:rPr>
          <w:rFonts w:hint="eastAsia" w:ascii="仿宋_GB2312" w:hAnsi="Times New Roman" w:eastAsia="仿宋_GB2312" w:cs="仿宋_GB2312"/>
          <w:color w:val="auto"/>
          <w:sz w:val="32"/>
          <w:szCs w:val="32"/>
          <w:u w:val="single"/>
          <w:lang w:val="en-US" w:eastAsia="zh-CN"/>
        </w:rPr>
        <w:t>当事人上述行为违反了《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w:t>
      </w:r>
      <w:r>
        <w:rPr>
          <w:rFonts w:hint="eastAsia" w:ascii="仿宋_GB2312" w:eastAsia="仿宋_GB2312" w:cs="仿宋_GB2312"/>
          <w:color w:val="auto"/>
          <w:sz w:val="32"/>
          <w:szCs w:val="32"/>
          <w:u w:val="single"/>
          <w:lang w:val="en-US" w:eastAsia="zh-CN"/>
        </w:rPr>
        <w:t>之</w:t>
      </w:r>
      <w:r>
        <w:rPr>
          <w:rFonts w:hint="eastAsia" w:ascii="仿宋_GB2312" w:hAnsi="Times New Roman" w:eastAsia="仿宋_GB2312" w:cs="仿宋_GB2312"/>
          <w:color w:val="auto"/>
          <w:sz w:val="32"/>
          <w:szCs w:val="32"/>
          <w:u w:val="single"/>
          <w:lang w:val="en-US" w:eastAsia="zh-CN"/>
        </w:rPr>
        <w:t>规定</w:t>
      </w:r>
      <w:r>
        <w:rPr>
          <w:rFonts w:hint="eastAsia" w:ascii="仿宋_GB2312" w:eastAsia="仿宋_GB2312" w:cs="仿宋_GB2312"/>
          <w:color w:val="auto"/>
          <w:sz w:val="32"/>
          <w:szCs w:val="32"/>
          <w:u w:val="single"/>
          <w:lang w:val="en-US" w:eastAsia="zh-CN"/>
        </w:rPr>
        <w:t xml:space="preserve">，构成连续2年未按规定报送年度报告被列入经营异常名录未改正且通过登记的住所或者经营场所无法取得联系的违法行为。                        </w:t>
      </w:r>
    </w:p>
    <w:p>
      <w:pPr>
        <w:pStyle w:val="2"/>
        <w:tabs>
          <w:tab w:val="left" w:pos="9060"/>
        </w:tabs>
        <w:autoSpaceDE/>
        <w:autoSpaceDN/>
        <w:spacing w:line="640" w:lineRule="exact"/>
        <w:ind w:firstLine="640" w:firstLineChars="200"/>
        <w:jc w:val="both"/>
        <w:rPr>
          <w:rFonts w:hint="default" w:ascii="Times New Roman" w:hAnsi="Times New Roman" w:eastAsia="仿宋_GB2312" w:cs="Mongolian Baiti"/>
          <w:color w:val="auto"/>
          <w:kern w:val="1"/>
          <w:sz w:val="32"/>
          <w:szCs w:val="32"/>
          <w:u w:val="single"/>
          <w:lang w:val="en-US" w:eastAsia="zh-CN"/>
        </w:rPr>
      </w:pPr>
      <w:r>
        <w:rPr>
          <w:rFonts w:hint="eastAsia" w:ascii="Times New Roman" w:eastAsia="仿宋_GB2312" w:cs="Mongolian Baiti"/>
          <w:color w:val="auto"/>
          <w:kern w:val="1"/>
          <w:sz w:val="32"/>
          <w:szCs w:val="32"/>
          <w:lang w:eastAsia="zh-CN"/>
        </w:rPr>
        <w:t>综上，</w:t>
      </w:r>
      <w:r>
        <w:rPr>
          <w:rFonts w:hint="eastAsia" w:ascii="Times New Roman" w:hAnsi="Times New Roman" w:eastAsia="仿宋_GB2312" w:cs="Mongolian Baiti"/>
          <w:color w:val="auto"/>
          <w:kern w:val="1"/>
          <w:sz w:val="32"/>
          <w:szCs w:val="32"/>
        </w:rPr>
        <w:t>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对</w:t>
      </w:r>
      <w:r>
        <w:rPr>
          <w:rFonts w:hint="eastAsia" w:ascii="Times New Roman" w:eastAsia="仿宋_GB2312" w:cs="Mongolian Baiti"/>
          <w:color w:val="auto"/>
          <w:kern w:val="1"/>
          <w:sz w:val="32"/>
          <w:szCs w:val="32"/>
          <w:lang w:eastAsia="zh-CN"/>
        </w:rPr>
        <w:t>当事人</w:t>
      </w:r>
      <w:r>
        <w:rPr>
          <w:rFonts w:hint="eastAsia" w:ascii="Times New Roman" w:hAnsi="Times New Roman" w:eastAsia="仿宋_GB2312" w:cs="Mongolian Baiti"/>
          <w:color w:val="auto"/>
          <w:kern w:val="1"/>
          <w:sz w:val="32"/>
          <w:szCs w:val="32"/>
        </w:rPr>
        <w:t>给予行政处罚如下：</w:t>
      </w:r>
    </w:p>
    <w:p>
      <w:pPr>
        <w:pStyle w:val="2"/>
        <w:tabs>
          <w:tab w:val="left" w:pos="8405"/>
        </w:tabs>
        <w:autoSpaceDE/>
        <w:autoSpaceDN/>
        <w:spacing w:line="640" w:lineRule="exact"/>
        <w:jc w:val="both"/>
        <w:rPr>
          <w:rFonts w:hint="eastAsia" w:ascii="仿宋_GB2312" w:hAnsi="仿宋_GB2312" w:eastAsia="仿宋_GB2312" w:cs="仿宋_GB2312"/>
          <w:b/>
          <w:color w:val="auto"/>
          <w:u w:val="single" w:color="231F20"/>
        </w:rPr>
      </w:pPr>
      <w:r>
        <w:rPr>
          <w:rFonts w:hint="eastAsia" w:ascii="仿宋_GB2312" w:hAnsi="方正仿宋_GBK" w:eastAsia="仿宋_GB2312"/>
          <w:b/>
          <w:color w:val="auto"/>
        </w:rPr>
        <w:t xml:space="preserve">   </w:t>
      </w:r>
      <w:r>
        <w:rPr>
          <w:rFonts w:hint="eastAsia" w:ascii="仿宋_GB2312" w:hAnsi="仿宋_GB2312" w:eastAsia="仿宋_GB2312" w:cs="仿宋_GB2312"/>
          <w:b/>
          <w:color w:val="auto"/>
        </w:rPr>
        <w:t xml:space="preserve"> </w:t>
      </w:r>
      <w:r>
        <w:rPr>
          <w:rFonts w:hint="eastAsia" w:ascii="仿宋_GB2312" w:hAnsi="仿宋_GB2312" w:eastAsia="仿宋_GB2312" w:cs="仿宋_GB2312"/>
          <w:b w:val="0"/>
          <w:bCs/>
          <w:color w:val="auto"/>
          <w:u w:val="single" w:color="231F20"/>
        </w:rPr>
        <w:t>1</w:t>
      </w:r>
      <w:r>
        <w:rPr>
          <w:rFonts w:hint="eastAsia" w:ascii="仿宋_GB2312" w:hAnsi="仿宋_GB2312" w:eastAsia="仿宋_GB2312" w:cs="仿宋_GB2312"/>
          <w:b w:val="0"/>
          <w:bCs/>
          <w:color w:val="auto"/>
          <w:u w:val="single" w:color="231F20"/>
          <w:lang w:eastAsia="zh-CN"/>
        </w:rPr>
        <w:t>、</w:t>
      </w:r>
      <w:r>
        <w:rPr>
          <w:rFonts w:hint="eastAsia" w:ascii="仿宋_GB2312" w:hAnsi="Times New Roman" w:eastAsia="仿宋_GB2312" w:cs="仿宋_GB2312"/>
          <w:color w:val="auto"/>
          <w:sz w:val="32"/>
          <w:szCs w:val="32"/>
          <w:u w:val="single"/>
          <w:lang w:val="en-US" w:eastAsia="zh-CN"/>
        </w:rPr>
        <w:t>吊销营业执照。</w:t>
      </w:r>
      <w:r>
        <w:rPr>
          <w:rFonts w:hint="eastAsia" w:ascii="仿宋_GB2312" w:hAnsi="仿宋_GB2312" w:eastAsia="仿宋_GB2312" w:cs="仿宋_GB2312"/>
          <w:b w:val="0"/>
          <w:bCs/>
          <w:color w:val="auto"/>
          <w:u w:val="single" w:color="231F20"/>
        </w:rPr>
        <w:tab/>
      </w:r>
    </w:p>
    <w:p>
      <w:pPr>
        <w:autoSpaceDE/>
        <w:autoSpaceDN/>
        <w:spacing w:line="640" w:lineRule="exact"/>
        <w:ind w:firstLine="420" w:firstLineChars="200"/>
        <w:rPr>
          <w:rFonts w:hint="default" w:ascii="仿宋_GB2312" w:hAnsi="仿宋_GB2312" w:eastAsia="仿宋_GB2312" w:cs="仿宋_GB2312"/>
          <w:color w:val="auto"/>
          <w:sz w:val="32"/>
          <w:szCs w:val="32"/>
          <w:u w:val="single" w:color="auto"/>
          <w:lang w:val="en-US" w:eastAsia="zh-CN"/>
        </w:rPr>
      </w:pPr>
      <w:r>
        <w:rPr>
          <w:rFonts w:hint="eastAsia" w:ascii="仿宋_GB2312" w:hAnsi="仿宋_GB2312" w:eastAsia="仿宋_GB2312" w:cs="仿宋_GB2312"/>
          <w:color w:val="auto"/>
        </w:rPr>
        <w:t xml:space="preserve">  </w:t>
      </w:r>
      <w:r>
        <w:rPr>
          <w:rFonts w:hint="eastAsia" w:ascii="仿宋_GB2312" w:hAnsi="仿宋_GB2312" w:eastAsia="仿宋_GB2312" w:cs="仿宋_GB2312"/>
          <w:color w:val="auto"/>
          <w:sz w:val="32"/>
          <w:szCs w:val="32"/>
          <w:u w:val="single" w:color="auto"/>
          <w:lang w:eastAsia="zh-CN"/>
        </w:rPr>
        <w:t>当事人如不服本处罚决定，可在接到处罚决定书之日起六十日内向巴彦淖尔市人民政府申请复议，也可在六个月内依法直接向临河区人民法院提起诉讼。</w:t>
      </w:r>
      <w:r>
        <w:rPr>
          <w:rFonts w:hint="eastAsia" w:ascii="仿宋_GB2312" w:hAnsi="仿宋_GB2312" w:eastAsia="仿宋_GB2312" w:cs="仿宋_GB2312"/>
          <w:color w:val="auto"/>
          <w:sz w:val="32"/>
          <w:szCs w:val="32"/>
          <w:u w:val="single" w:color="auto"/>
          <w:lang w:val="en-US" w:eastAsia="zh-CN"/>
        </w:rPr>
        <w:t xml:space="preserve">                  </w:t>
      </w:r>
    </w:p>
    <w:p>
      <w:pPr>
        <w:widowControl/>
        <w:snapToGrid w:val="0"/>
        <w:spacing w:line="640" w:lineRule="exact"/>
        <w:ind w:firstLine="6240" w:firstLineChars="1950"/>
        <w:jc w:val="left"/>
        <w:rPr>
          <w:rFonts w:hint="eastAsia" w:ascii="Times New Roman" w:hAnsi="Times New Roman" w:eastAsia="仿宋_GB2312" w:cs="仿宋_GB2312"/>
          <w:color w:val="auto"/>
          <w:sz w:val="32"/>
          <w:szCs w:val="32"/>
        </w:rPr>
      </w:pPr>
    </w:p>
    <w:p>
      <w:pPr>
        <w:widowControl/>
        <w:snapToGrid w:val="0"/>
        <w:spacing w:line="640" w:lineRule="exact"/>
        <w:ind w:firstLine="6240" w:firstLineChars="1950"/>
        <w:jc w:val="left"/>
        <w:rPr>
          <w:rFonts w:hint="eastAsia" w:ascii="Times New Roman" w:hAnsi="Times New Roman" w:eastAsia="仿宋_GB2312" w:cs="仿宋_GB2312"/>
          <w:color w:val="auto"/>
          <w:sz w:val="32"/>
          <w:szCs w:val="32"/>
        </w:rPr>
      </w:pPr>
    </w:p>
    <w:p>
      <w:pPr>
        <w:widowControl/>
        <w:snapToGrid w:val="0"/>
        <w:spacing w:line="640" w:lineRule="exact"/>
        <w:ind w:firstLine="6240" w:firstLineChars="1950"/>
        <w:jc w:val="left"/>
        <w:rPr>
          <w:rFonts w:hint="eastAsia" w:ascii="Times New Roman" w:hAnsi="Times New Roman" w:eastAsia="仿宋_GB2312" w:cs="仿宋_GB2312"/>
          <w:color w:val="auto"/>
          <w:sz w:val="32"/>
          <w:szCs w:val="32"/>
        </w:rPr>
      </w:pPr>
    </w:p>
    <w:p>
      <w:pPr>
        <w:spacing w:line="640" w:lineRule="exact"/>
        <w:ind w:right="640" w:firstLine="601"/>
        <w:jc w:val="right"/>
        <w:rPr>
          <w:rFonts w:ascii="Times New Roman" w:hAnsi="Times New Roman" w:eastAsia="仿宋_GB2312" w:cs="仿宋"/>
          <w:color w:val="auto"/>
          <w:sz w:val="32"/>
          <w:szCs w:val="32"/>
        </w:rPr>
      </w:pPr>
      <w:r>
        <w:rPr>
          <w:rFonts w:hint="eastAsia" w:ascii="Times New Roman" w:hAnsi="Times New Roman" w:eastAsia="仿宋_GB2312" w:cs="仿宋_GB2312"/>
          <w:color w:val="auto"/>
          <w:sz w:val="32"/>
          <w:szCs w:val="32"/>
        </w:rPr>
        <w:t xml:space="preserve">                   </w:t>
      </w:r>
      <w:r>
        <w:rPr>
          <w:rFonts w:hint="eastAsia" w:ascii="Times New Roman" w:hAnsi="Times New Roman" w:eastAsia="仿宋_GB2312" w:cs="仿宋"/>
          <w:color w:val="auto"/>
          <w:sz w:val="32"/>
          <w:szCs w:val="32"/>
          <w:u w:val="single"/>
          <w:lang w:eastAsia="zh-CN"/>
        </w:rPr>
        <w:t>巴彦淖尔市</w:t>
      </w:r>
      <w:r>
        <w:rPr>
          <w:rFonts w:hint="eastAsia" w:ascii="Times New Roman" w:hAnsi="Times New Roman" w:eastAsia="仿宋_GB2312" w:cs="仿宋"/>
          <w:color w:val="auto"/>
          <w:sz w:val="32"/>
          <w:szCs w:val="32"/>
        </w:rPr>
        <w:t xml:space="preserve">市场监督管理局    </w:t>
      </w:r>
    </w:p>
    <w:p>
      <w:pPr>
        <w:spacing w:line="640" w:lineRule="exact"/>
        <w:ind w:right="640" w:firstLine="601"/>
        <w:jc w:val="center"/>
        <w:outlineLvl w:val="1"/>
        <w:rPr>
          <w:rFonts w:ascii="Times New Roman" w:hAnsi="Times New Roman" w:eastAsia="仿宋_GB2312" w:cs="仿宋"/>
          <w:color w:val="auto"/>
          <w:sz w:val="32"/>
          <w:szCs w:val="32"/>
        </w:rPr>
      </w:pPr>
      <w:r>
        <w:rPr>
          <w:rFonts w:hint="eastAsia" w:ascii="Times New Roman" w:hAnsi="Times New Roman" w:eastAsia="仿宋_GB2312" w:cs="仿宋"/>
          <w:color w:val="auto"/>
          <w:sz w:val="32"/>
          <w:szCs w:val="32"/>
        </w:rPr>
        <w:t xml:space="preserve">                           （印 章）         </w:t>
      </w:r>
    </w:p>
    <w:p>
      <w:pPr>
        <w:pStyle w:val="2"/>
        <w:autoSpaceDE/>
        <w:autoSpaceDN/>
        <w:spacing w:before="1" w:beforeLines="0" w:line="640" w:lineRule="exact"/>
        <w:ind w:left="0"/>
        <w:rPr>
          <w:rFonts w:hint="eastAsia" w:ascii="黑体" w:hAnsi="黑体" w:eastAsia="黑体"/>
          <w:color w:val="auto"/>
          <w:spacing w:val="-16"/>
        </w:rPr>
      </w:pPr>
      <w:r>
        <w:rPr>
          <w:rFonts w:hint="eastAsia" w:ascii="仿宋_GB2312" w:hAnsi="Times New Roman" w:eastAsia="仿宋_GB2312" w:cs="仿宋"/>
          <w:color w:val="auto"/>
          <w:sz w:val="32"/>
          <w:szCs w:val="32"/>
          <w:lang w:val="en-US" w:eastAsia="zh-CN"/>
        </w:rPr>
        <w:t xml:space="preserve">                            2025</w:t>
      </w:r>
      <w:r>
        <w:rPr>
          <w:rFonts w:hint="eastAsia" w:ascii="仿宋_GB2312" w:hAnsi="Times New Roman" w:eastAsia="仿宋_GB2312" w:cs="仿宋"/>
          <w:color w:val="auto"/>
          <w:sz w:val="32"/>
          <w:szCs w:val="32"/>
        </w:rPr>
        <w:t xml:space="preserve">年 </w:t>
      </w:r>
      <w:r>
        <w:rPr>
          <w:rFonts w:hint="eastAsia" w:ascii="仿宋_GB2312" w:eastAsia="仿宋_GB2312" w:cs="仿宋"/>
          <w:color w:val="auto"/>
          <w:sz w:val="32"/>
          <w:szCs w:val="32"/>
          <w:lang w:val="en-US" w:eastAsia="zh-CN"/>
        </w:rPr>
        <w:t>3</w:t>
      </w:r>
      <w:r>
        <w:rPr>
          <w:rFonts w:hint="eastAsia" w:ascii="仿宋_GB2312" w:hAnsi="Times New Roman" w:eastAsia="仿宋_GB2312" w:cs="仿宋"/>
          <w:color w:val="auto"/>
          <w:sz w:val="32"/>
          <w:szCs w:val="32"/>
        </w:rPr>
        <w:t>月</w:t>
      </w:r>
      <w:r>
        <w:rPr>
          <w:rFonts w:hint="eastAsia" w:ascii="仿宋_GB2312" w:eastAsia="仿宋_GB2312" w:cs="仿宋"/>
          <w:color w:val="auto"/>
          <w:sz w:val="32"/>
          <w:szCs w:val="32"/>
          <w:lang w:val="en-US" w:eastAsia="zh-CN"/>
        </w:rPr>
        <w:t>3</w:t>
      </w:r>
      <w:r>
        <w:rPr>
          <w:rFonts w:hint="eastAsia" w:ascii="仿宋_GB2312" w:hAnsi="Times New Roman" w:eastAsia="仿宋_GB2312" w:cs="仿宋"/>
          <w:color w:val="auto"/>
          <w:sz w:val="32"/>
          <w:szCs w:val="32"/>
        </w:rPr>
        <w:t xml:space="preserve">日  </w:t>
      </w:r>
    </w:p>
    <w:p>
      <w:pPr>
        <w:pStyle w:val="2"/>
        <w:autoSpaceDE/>
        <w:autoSpaceDN/>
        <w:spacing w:before="1" w:beforeLines="0" w:line="640" w:lineRule="exact"/>
        <w:ind w:left="163"/>
        <w:rPr>
          <w:rFonts w:hint="eastAsia" w:ascii="黑体" w:hAnsi="黑体" w:eastAsia="黑体"/>
          <w:color w:val="auto"/>
          <w:spacing w:val="-16"/>
        </w:rPr>
      </w:pPr>
    </w:p>
    <w:p>
      <w:pPr>
        <w:pStyle w:val="2"/>
        <w:autoSpaceDE/>
        <w:autoSpaceDN/>
        <w:spacing w:before="1" w:beforeLines="0" w:line="640" w:lineRule="exact"/>
        <w:ind w:left="163"/>
        <w:rPr>
          <w:rFonts w:hint="eastAsia" w:ascii="黑体" w:hAnsi="黑体" w:eastAsia="黑体"/>
          <w:color w:val="auto"/>
          <w:spacing w:val="-16"/>
        </w:rPr>
      </w:pPr>
    </w:p>
    <w:p>
      <w:pPr>
        <w:pStyle w:val="2"/>
        <w:autoSpaceDE/>
        <w:autoSpaceDN/>
        <w:spacing w:before="1" w:beforeLines="0" w:line="640" w:lineRule="exact"/>
        <w:ind w:left="163"/>
        <w:rPr>
          <w:rFonts w:ascii="黑体" w:hAnsi="黑体" w:eastAsia="黑体"/>
          <w:color w:val="auto"/>
          <w:spacing w:val="-16"/>
        </w:rPr>
      </w:pPr>
      <w:r>
        <w:rPr>
          <w:rFonts w:hint="eastAsia" w:ascii="黑体" w:hAnsi="黑体" w:eastAsia="黑体"/>
          <w:color w:val="auto"/>
          <w:spacing w:val="-16"/>
        </w:rPr>
        <w:t>（市场监督管理部门将依法向社会公开行政处罚决定信息）</w:t>
      </w:r>
    </w:p>
    <w:p>
      <w:pPr>
        <w:spacing w:line="640" w:lineRule="exact"/>
        <w:rPr>
          <w:rFonts w:hint="eastAsia" w:ascii="Times New Roman" w:hAnsi="Times New Roman" w:eastAsia="仿宋_GB2312" w:cs="仿宋"/>
          <w:bCs/>
          <w:color w:val="auto"/>
          <w:sz w:val="44"/>
          <w:szCs w:val="44"/>
        </w:rPr>
      </w:pPr>
    </w:p>
    <w:p>
      <w:pPr>
        <w:spacing w:line="640" w:lineRule="exact"/>
        <w:rPr>
          <w:color w:val="auto"/>
        </w:rPr>
      </w:pPr>
      <w:r>
        <w:rPr>
          <w:rFonts w:ascii="Times New Roman" w:hAnsi="Times New Roman" w:eastAsia="仿宋_GB2312"/>
          <w:color w:val="auto"/>
          <w:sz w:val="32"/>
        </w:rPr>
        <mc:AlternateContent>
          <mc:Choice Requires="wps">
            <w:drawing>
              <wp:anchor distT="0" distB="0" distL="114300" distR="114300" simplePos="0" relativeHeight="251662336" behindDoc="0" locked="0" layoutInCell="1" allowOverlap="1">
                <wp:simplePos x="0" y="0"/>
                <wp:positionH relativeFrom="column">
                  <wp:align>center</wp:align>
                </wp:positionH>
                <wp:positionV relativeFrom="paragraph">
                  <wp:posOffset>-2540</wp:posOffset>
                </wp:positionV>
                <wp:extent cx="5550535" cy="635"/>
                <wp:effectExtent l="0" t="7620" r="12065" b="14605"/>
                <wp:wrapNone/>
                <wp:docPr id="1" name="直接连接符 1"/>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top:-0.2pt;height:0.05pt;width:437.05pt;mso-position-horizontal:center;z-index:251662336;mso-width-relative:page;mso-height-relative:page;" filled="f" stroked="t" coordsize="21600,21600" o:gfxdata="UEsDBAoAAAAAAIdO4kAAAAAAAAAAAAAAAAAEAAAAZHJzL1BLAwQUAAAACACHTuJA6nQaGtQAAAAE&#10;AQAADwAAAGRycy9kb3ducmV2LnhtbE2PzWrDMBCE74W8g9hAb4ns1tTBtRxKoNBLU5L2ATbWxja1&#10;VsZSfpyn7/bUHocZZr4p11fXqzONofNsIF0moIhrbztuDHx9vi5WoEJEtth7JgMTBVhXs7sSC+sv&#10;vKPzPjZKSjgUaKCNcSi0DnVLDsPSD8TiHf3oMIocG21HvEi56/VDkjxphx3LQosDbVqqv/cnZ2C3&#10;8dv8Zcg+3rbx/ZjfbhPVzWTM/TxNnkFFusa/MPziCzpUwnTwJ7ZB9QbkSDSwyECJucqzFNRB9CPo&#10;qtT/4asfUEsDBBQAAAAIAIdO4kC1F/n59AEAAOcDAAAOAAAAZHJzL2Uyb0RvYy54bWytU82O0zAQ&#10;viPxDpbvNO2iLKuo6R62LBcElYAHmDpOYsl/8rhN+xK8ABI3OHHkztuw+xiMndCF5dIDOThj+/Pn&#10;+b4ZL68PRrO9DKicrfliNudMWuEaZbuaf3h/++yKM4xgG9DOypofJfLr1dMny8FX8sL1TjcyMCKx&#10;WA2+5n2MvioKFL00gDPnpaXN1gUDkaahK5oAA7EbXVzM55fF4ELjgxMSkVbX4yafGMM5hK5tlZBr&#10;J3ZG2jiyBqkhkiTslUe+ytm2rRTxbduijEzXnJTGPNIlFG/TWKyWUHUBfK/ElAKck8IjTQaUpUtP&#10;VGuIwHZB/UNllAgOXRtnwpliFJIdIRWL+SNv3vXgZdZCVqM/mY7/j1a82W8CUw11AmcWDBX87tP3&#10;nx+/3P/4TOPdt69skUwaPFaEvbGbMM3Qb0JSfGiDSX/Swg7Z2OPJWHmITNBiWZbz8nnJmaC9SwqI&#10;o3g46gPGV9IZloKaa2WTaqhg/xrjCP0NScvasoHyLa9eJEagHmyp9hQaTzrQdvkwOq2aW6V1OoKh&#10;297owPaQ+iB/Uw5/wdIta8B+xOWtBIOql9C8tA2LR08OWXoYPOVgZMOZlvSOUpSREZQ+B0nytSUX&#10;krGjlSnauuZI9dj5oLqerMjeZwzVP3s29WpqsD/nmenhfa5+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p0GhrUAAAABAEAAA8AAAAAAAAAAQAgAAAAIgAAAGRycy9kb3ducmV2LnhtbFBLAQIUABQA&#10;AAAIAIdO4kC1F/n59AEAAOcDAAAOAAAAAAAAAAEAIAAAACMBAABkcnMvZTJvRG9jLnhtbFBLBQYA&#10;AAAABgAGAFkBAACJBQAAAAA=&#10;">
                <v:fill on="f" focussize="0,0"/>
                <v:stroke weight="1.25pt" color="#000000" joinstyle="round"/>
                <v:imagedata o:title=""/>
                <o:lock v:ext="edit" aspectratio="f"/>
              </v:line>
            </w:pict>
          </mc:Fallback>
        </mc:AlternateContent>
      </w:r>
      <w:r>
        <w:rPr>
          <w:rFonts w:ascii="Times New Roman" w:hAnsi="Times New Roman" w:eastAsia="仿宋_GB2312" w:cs="仿宋"/>
          <w:bCs/>
          <w:color w:val="auto"/>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2" name="直接连接符 2"/>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661312;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CNxw1d+AEAAOUDAAAOAAAAZHJzL2Uyb0RvYy54bWytU82O&#10;0zAQviPxDpbvNG3QdiFquoctywVBJeABpo6TWPIfHrdpX4IXQOIGJ47c921YHoOxU7qwXHogB2fs&#10;GX8z3zfjxdXeaLaTAZWzNZ9NppxJK1yjbFfz9+9unjzjDCPYBrSzsuYHifxq+fjRYvCVLF3vdCMD&#10;IxCL1eBr3sfoq6JA0UsDOHFeWnK2LhiItA1d0QQYCN3oopxO58XgQuODExKRTlejkx8RwzmArm2V&#10;kCsntkbaOKIGqSESJeyVR77M1batFPFN26KMTNecmMa8UhKyN2ktlguougC+V+JYApxTwgNOBpSl&#10;pCeoFURg26D+gTJKBIeujRPhTDESyYoQi9n0gTZve/AycyGp0Z9Ex/8HK17v1oGppuYlZxYMNfzu&#10;0/cfH7/8vP1M6923r6xMIg0eK4q9tutw3KFfh8R43waT/sSF7bOwh5Owch+ZoMOLy3k5Ly84E+Sb&#10;lZdZ9+L+rg8YX0pnWDJqrpVNtKGC3SuMlI9Cf4ekY23ZUPPnT+fURQE0g/iBDOOJBdou30SnVXOj&#10;tE7xGLrNtQ5sB2kK8pc4EepfYSnFCrAf47JrnI9eQvPCNiwePOlj6VnwVICRDWda0itKFgFCFUHp&#10;cyIptbZUQZJ1FDJZG9ccqBtbH1TXkw6zXGXyUPdzvcdJTeP15z4j3b/O5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L7/OR1wAAAAoBAAAPAAAAAAAAAAEAIAAAACIAAABkcnMvZG93bnJldi54bWxQ&#10;SwECFAAUAAAACACHTuJAjccNXfgBAADlAwAADgAAAAAAAAABACAAAAAmAQAAZHJzL2Uyb0RvYy54&#10;bWxQSwUGAAAAAAYABgBZAQAAkAU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auto"/>
          <w:sz w:val="32"/>
          <w:szCs w:val="32"/>
        </w:rPr>
        <w:t>本文书一式</w:t>
      </w:r>
      <w:r>
        <w:rPr>
          <w:rFonts w:hint="eastAsia" w:ascii="Times New Roman" w:hAnsi="Times New Roman" w:eastAsia="仿宋_GB2312" w:cs="仿宋"/>
          <w:color w:val="auto"/>
          <w:sz w:val="32"/>
          <w:szCs w:val="32"/>
          <w:u w:val="single"/>
        </w:rPr>
        <w:t xml:space="preserve"> </w:t>
      </w:r>
      <w:r>
        <w:rPr>
          <w:rFonts w:hint="eastAsia" w:ascii="Times New Roman" w:hAnsi="Times New Roman" w:eastAsia="仿宋_GB2312" w:cs="仿宋"/>
          <w:color w:val="auto"/>
          <w:sz w:val="32"/>
          <w:szCs w:val="32"/>
          <w:u w:val="single"/>
          <w:lang w:eastAsia="zh-CN"/>
        </w:rPr>
        <w:t>二</w:t>
      </w:r>
      <w:r>
        <w:rPr>
          <w:rFonts w:hint="eastAsia" w:ascii="Times New Roman" w:hAnsi="Times New Roman" w:eastAsia="仿宋_GB2312" w:cs="仿宋"/>
          <w:color w:val="auto"/>
          <w:sz w:val="32"/>
          <w:szCs w:val="32"/>
        </w:rPr>
        <w:t>份，</w:t>
      </w:r>
      <w:r>
        <w:rPr>
          <w:rFonts w:hint="eastAsia" w:ascii="Times New Roman" w:hAnsi="Times New Roman" w:eastAsia="仿宋_GB2312" w:cs="仿宋"/>
          <w:color w:val="auto"/>
          <w:sz w:val="32"/>
          <w:szCs w:val="32"/>
          <w:u w:val="single"/>
          <w:lang w:eastAsia="zh-CN"/>
        </w:rPr>
        <w:t>一</w:t>
      </w:r>
      <w:r>
        <w:rPr>
          <w:rFonts w:hint="eastAsia" w:ascii="Times New Roman" w:hAnsi="Times New Roman" w:eastAsia="仿宋_GB2312" w:cs="仿宋"/>
          <w:color w:val="auto"/>
          <w:sz w:val="32"/>
          <w:szCs w:val="32"/>
        </w:rPr>
        <w:t>份送达，一份归档。</w:t>
      </w:r>
    </w:p>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00000000000000000"/>
    <w:charset w:val="86"/>
    <w:family w:val="script"/>
    <w:pitch w:val="default"/>
    <w:sig w:usb0="A00002BF" w:usb1="184F6CFA" w:usb2="00000012" w:usb3="00000000" w:csb0="00040001"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Droid Sans Fallback">
    <w:altName w:val="hakuyoxingshu7000"/>
    <w:panose1 w:val="020B0502000000000001"/>
    <w:charset w:val="80"/>
    <w:family w:val="modern"/>
    <w:pitch w:val="default"/>
    <w:sig w:usb0="00000000" w:usb1="00000000" w:usb2="00000036" w:usb3="00000000" w:csb0="203F01FF" w:csb1="D7FF0000"/>
  </w:font>
  <w:font w:name="方正仿宋_GBK">
    <w:panose1 w:val="02000000000000000000"/>
    <w:charset w:val="86"/>
    <w:family w:val="script"/>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 w:name="hakuyoxingshu7000">
    <w:panose1 w:val="02000600000000000000"/>
    <w:charset w:val="86"/>
    <w:family w:val="auto"/>
    <w:pitch w:val="default"/>
    <w:sig w:usb0="FFFFFFFF" w:usb1="E9FFFFFF" w:usb2="0000003F" w:usb3="00000000" w:csb0="603F00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911AC7"/>
    <w:rsid w:val="04B23206"/>
    <w:rsid w:val="5A911AC7"/>
    <w:rsid w:val="62115A32"/>
    <w:rsid w:val="776873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2025-03-10T08:16:00Z</dcterms:created>
  <dc:creator>PC1</dc:creator>
  <cp:lastModifiedBy>PC1</cp:lastModifiedBy>
  <dcterms:modified xsi:type="dcterms:W3CDTF">2025-03-10T08:17:11Z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