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E34F7">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p>
    <w:p w14:paraId="7017E7F9">
      <w:pPr>
        <w:jc w:val="center"/>
        <w:rPr>
          <w:rFonts w:hint="eastAsia" w:ascii="宋体" w:hAnsi="宋体" w:eastAsia="宋体" w:cs="宋体"/>
          <w:b/>
          <w:sz w:val="72"/>
          <w:szCs w:val="72"/>
          <w:u w:val="none"/>
          <w:lang w:eastAsia="zh-CN"/>
        </w:rPr>
      </w:pPr>
      <w:r>
        <w:rPr>
          <w:rFonts w:hint="eastAsia" w:ascii="仿宋" w:hAnsi="仿宋" w:eastAsia="仿宋" w:cs="仿宋"/>
          <w:b/>
          <w:bCs/>
          <w:color w:val="000000"/>
          <w:sz w:val="72"/>
          <w:szCs w:val="72"/>
          <w:lang w:val="en-US" w:eastAsia="zh-CN"/>
        </w:rPr>
        <w:t>巴彦淖尔市市场监督管理局抽查实施方案</w:t>
      </w:r>
    </w:p>
    <w:p w14:paraId="38565380">
      <w:pPr>
        <w:jc w:val="center"/>
        <w:rPr>
          <w:rFonts w:hint="eastAsia" w:ascii="宋体" w:hAnsi="宋体" w:eastAsia="宋体" w:cs="宋体"/>
          <w:sz w:val="36"/>
          <w:szCs w:val="24"/>
          <w:lang w:val="en-US" w:eastAsia="zh-CN"/>
        </w:rPr>
      </w:pPr>
    </w:p>
    <w:p w14:paraId="03454C18">
      <w:pPr>
        <w:jc w:val="center"/>
        <w:rPr>
          <w:rFonts w:hint="eastAsia" w:ascii="仿宋" w:hAnsi="仿宋" w:eastAsia="仿宋" w:cs="仿宋"/>
          <w:b/>
          <w:bCs w:val="0"/>
          <w:color w:val="000000"/>
          <w:sz w:val="44"/>
          <w:szCs w:val="44"/>
        </w:rPr>
      </w:pPr>
    </w:p>
    <w:p w14:paraId="7B614455">
      <w:pPr>
        <w:pStyle w:val="11"/>
        <w:rPr>
          <w:rFonts w:hint="eastAsia"/>
        </w:rPr>
      </w:pPr>
    </w:p>
    <w:p w14:paraId="74BE967D">
      <w:pPr>
        <w:pStyle w:val="24"/>
        <w:rPr>
          <w:rFonts w:hint="eastAsia"/>
        </w:rPr>
      </w:pPr>
    </w:p>
    <w:p w14:paraId="06E7571D">
      <w:pPr>
        <w:jc w:val="center"/>
        <w:rPr>
          <w:rFonts w:hint="eastAsia" w:ascii="仿宋" w:hAnsi="仿宋" w:eastAsia="仿宋" w:cs="仿宋"/>
          <w:b/>
          <w:bCs w:val="0"/>
          <w:color w:val="000000"/>
          <w:sz w:val="44"/>
          <w:szCs w:val="44"/>
          <w:lang w:eastAsia="zh-CN"/>
        </w:rPr>
      </w:pPr>
    </w:p>
    <w:p w14:paraId="20D74381">
      <w:pPr>
        <w:pStyle w:val="24"/>
        <w:ind w:left="0" w:leftChars="0" w:firstLine="0" w:firstLineChars="0"/>
        <w:rPr>
          <w:rFonts w:hint="eastAsia"/>
          <w:lang w:eastAsia="zh-CN"/>
        </w:rPr>
      </w:pPr>
    </w:p>
    <w:p w14:paraId="0F10E51C">
      <w:pPr>
        <w:pStyle w:val="43"/>
        <w:rPr>
          <w:rFonts w:hint="eastAsia" w:ascii="仿宋" w:hAnsi="仿宋" w:eastAsia="仿宋" w:cs="仿宋"/>
          <w:b/>
          <w:bCs/>
          <w:color w:val="000000"/>
          <w:spacing w:val="10"/>
          <w:sz w:val="36"/>
          <w:szCs w:val="36"/>
          <w:lang w:val="en-US" w:eastAsia="zh-CN"/>
        </w:rPr>
      </w:pPr>
    </w:p>
    <w:p w14:paraId="5044A2FD">
      <w:pPr>
        <w:pStyle w:val="44"/>
        <w:rPr>
          <w:rFonts w:hint="eastAsia" w:ascii="仿宋" w:hAnsi="仿宋" w:eastAsia="仿宋" w:cs="仿宋"/>
          <w:b/>
          <w:bCs/>
          <w:color w:val="000000"/>
          <w:spacing w:val="10"/>
          <w:sz w:val="36"/>
          <w:szCs w:val="36"/>
          <w:lang w:val="en-US" w:eastAsia="zh-CN"/>
        </w:rPr>
      </w:pPr>
    </w:p>
    <w:p w14:paraId="03859DC4">
      <w:pPr>
        <w:pStyle w:val="25"/>
        <w:rPr>
          <w:rFonts w:hint="eastAsia"/>
          <w:lang w:val="en-US" w:eastAsia="zh-CN"/>
        </w:rPr>
      </w:pPr>
    </w:p>
    <w:p w14:paraId="5954829B">
      <w:pPr>
        <w:pStyle w:val="44"/>
        <w:rPr>
          <w:rFonts w:hint="eastAsia" w:ascii="仿宋" w:hAnsi="仿宋" w:eastAsia="仿宋" w:cs="仿宋"/>
          <w:b/>
          <w:bCs/>
          <w:color w:val="000000"/>
          <w:spacing w:val="10"/>
          <w:sz w:val="36"/>
          <w:szCs w:val="36"/>
          <w:lang w:val="en-US" w:eastAsia="zh-CN"/>
        </w:rPr>
      </w:pPr>
    </w:p>
    <w:p w14:paraId="345B4EBB">
      <w:pPr>
        <w:jc w:val="left"/>
        <w:rPr>
          <w:rFonts w:hint="eastAsia" w:ascii="仿宋" w:hAnsi="仿宋" w:eastAsia="仿宋" w:cs="仿宋"/>
          <w:b/>
          <w:bCs/>
          <w:color w:val="000000"/>
          <w:sz w:val="36"/>
          <w:szCs w:val="36"/>
        </w:rPr>
      </w:pPr>
      <w:r>
        <w:rPr>
          <w:rFonts w:hint="eastAsia" w:ascii="仿宋" w:hAnsi="仿宋" w:eastAsia="仿宋" w:cs="仿宋"/>
          <w:b/>
          <w:color w:val="000000"/>
          <w:spacing w:val="20"/>
          <w:sz w:val="36"/>
          <w:szCs w:val="36"/>
        </w:rPr>
        <w:t>委托单位：</w:t>
      </w:r>
      <w:r>
        <w:rPr>
          <w:rFonts w:hint="eastAsia" w:ascii="仿宋" w:hAnsi="仿宋" w:eastAsia="仿宋" w:cs="仿宋"/>
          <w:b/>
          <w:color w:val="000000"/>
          <w:spacing w:val="20"/>
          <w:sz w:val="36"/>
          <w:szCs w:val="36"/>
          <w:lang w:eastAsia="zh-CN"/>
        </w:rPr>
        <w:t>巴彦淖尔市市场监督管理局</w:t>
      </w:r>
    </w:p>
    <w:p w14:paraId="066F4FFE">
      <w:pPr>
        <w:pStyle w:val="25"/>
        <w:rPr>
          <w:rFonts w:hint="eastAsia" w:ascii="仿宋" w:hAnsi="仿宋" w:eastAsia="仿宋" w:cs="仿宋"/>
          <w:b/>
          <w:bCs/>
          <w:color w:val="000000"/>
          <w:spacing w:val="10"/>
          <w:sz w:val="36"/>
          <w:szCs w:val="36"/>
          <w:lang w:val="en-US" w:eastAsia="zh-CN"/>
        </w:rPr>
      </w:pPr>
    </w:p>
    <w:p w14:paraId="045E9437">
      <w:pPr>
        <w:adjustRightInd w:val="0"/>
        <w:snapToGrid w:val="0"/>
        <w:spacing w:line="264" w:lineRule="auto"/>
        <w:jc w:val="left"/>
        <w:rPr>
          <w:rFonts w:hint="eastAsia" w:ascii="仿宋" w:hAnsi="仿宋" w:eastAsia="仿宋" w:cs="仿宋"/>
          <w:color w:val="000000"/>
          <w:sz w:val="36"/>
          <w:szCs w:val="36"/>
          <w:lang w:eastAsia="zh-CN"/>
        </w:rPr>
      </w:pPr>
      <w:r>
        <w:rPr>
          <w:rFonts w:hint="eastAsia" w:ascii="仿宋" w:hAnsi="仿宋" w:eastAsia="仿宋" w:cs="仿宋"/>
          <w:b/>
          <w:color w:val="000000"/>
          <w:spacing w:val="20"/>
          <w:sz w:val="36"/>
          <w:szCs w:val="36"/>
          <w:lang w:eastAsia="zh-CN"/>
        </w:rPr>
        <w:t>抽检</w:t>
      </w:r>
      <w:r>
        <w:rPr>
          <w:rFonts w:hint="eastAsia" w:ascii="仿宋" w:hAnsi="仿宋" w:eastAsia="仿宋" w:cs="仿宋"/>
          <w:b/>
          <w:color w:val="000000"/>
          <w:spacing w:val="20"/>
          <w:sz w:val="36"/>
          <w:szCs w:val="36"/>
        </w:rPr>
        <w:t>单位：</w:t>
      </w:r>
      <w:r>
        <w:rPr>
          <w:rFonts w:hint="eastAsia" w:ascii="仿宋" w:hAnsi="仿宋" w:eastAsia="仿宋" w:cs="仿宋"/>
          <w:b/>
          <w:color w:val="000000"/>
          <w:spacing w:val="20"/>
          <w:sz w:val="36"/>
          <w:szCs w:val="36"/>
          <w:lang w:eastAsia="zh-CN"/>
        </w:rPr>
        <w:t>山东精准产品质量检测有限公司</w:t>
      </w:r>
    </w:p>
    <w:p w14:paraId="0D22E5EE">
      <w:pPr>
        <w:wordWrap w:val="0"/>
        <w:jc w:val="both"/>
        <w:rPr>
          <w:rFonts w:hint="eastAsia" w:ascii="宋体" w:hAnsi="宋体" w:eastAsia="宋体" w:cs="宋体"/>
          <w:b/>
          <w:bCs/>
          <w:sz w:val="36"/>
          <w:szCs w:val="36"/>
          <w:lang w:val="en-US" w:eastAsia="zh-CN"/>
        </w:rPr>
      </w:pPr>
    </w:p>
    <w:p w14:paraId="729DC5D5">
      <w:pPr>
        <w:pStyle w:val="11"/>
        <w:jc w:val="center"/>
        <w:rPr>
          <w:rFonts w:hint="eastAsia" w:ascii="宋体" w:hAnsi="宋体" w:eastAsia="宋体" w:cs="宋体"/>
          <w:b/>
          <w:bCs/>
          <w:sz w:val="36"/>
          <w:szCs w:val="36"/>
          <w:lang w:val="en-US" w:eastAsia="zh-CN"/>
        </w:rPr>
      </w:pPr>
    </w:p>
    <w:p w14:paraId="131866A9">
      <w:pPr>
        <w:jc w:val="center"/>
        <w:rPr>
          <w:rFonts w:hint="eastAsia"/>
          <w:b/>
          <w:sz w:val="44"/>
          <w:szCs w:val="44"/>
          <w:lang w:val="en-US" w:eastAsia="zh-CN"/>
        </w:rPr>
        <w:sectPr>
          <w:pgSz w:w="11906" w:h="16838"/>
          <w:pgMar w:top="1440" w:right="1083" w:bottom="1440" w:left="1083" w:header="851" w:footer="992" w:gutter="0"/>
          <w:cols w:space="720" w:num="1"/>
          <w:docGrid w:type="lines" w:linePitch="312" w:charSpace="0"/>
        </w:sectPr>
      </w:pPr>
      <w:r>
        <w:rPr>
          <w:rFonts w:hint="eastAsia" w:ascii="仿宋" w:hAnsi="仿宋" w:eastAsia="仿宋" w:cs="仿宋"/>
          <w:b/>
          <w:bCs w:val="0"/>
          <w:color w:val="000000"/>
          <w:sz w:val="36"/>
          <w:szCs w:val="36"/>
        </w:rPr>
        <w:t>抽查时间：</w:t>
      </w:r>
      <w:r>
        <w:rPr>
          <w:rFonts w:hint="eastAsia" w:ascii="仿宋" w:hAnsi="仿宋" w:eastAsia="仿宋" w:cs="仿宋"/>
          <w:b/>
          <w:bCs w:val="0"/>
          <w:color w:val="000000"/>
          <w:spacing w:val="20"/>
          <w:sz w:val="36"/>
          <w:szCs w:val="36"/>
          <w:lang w:eastAsia="zh-CN"/>
        </w:rPr>
        <w:t>二〇二</w:t>
      </w:r>
      <w:r>
        <w:rPr>
          <w:rFonts w:hint="eastAsia" w:ascii="仿宋" w:hAnsi="仿宋" w:eastAsia="仿宋" w:cs="仿宋"/>
          <w:b/>
          <w:bCs w:val="0"/>
          <w:color w:val="000000"/>
          <w:spacing w:val="20"/>
          <w:sz w:val="36"/>
          <w:szCs w:val="36"/>
          <w:lang w:val="en-US" w:eastAsia="zh-CN"/>
        </w:rPr>
        <w:t>六</w:t>
      </w:r>
      <w:r>
        <w:rPr>
          <w:rFonts w:hint="eastAsia" w:ascii="仿宋" w:hAnsi="仿宋" w:eastAsia="仿宋" w:cs="仿宋"/>
          <w:b/>
          <w:bCs w:val="0"/>
          <w:color w:val="000000"/>
          <w:spacing w:val="20"/>
          <w:sz w:val="36"/>
          <w:szCs w:val="36"/>
        </w:rPr>
        <w:t>年</w:t>
      </w:r>
    </w:p>
    <w:p w14:paraId="723C7E25">
      <w:pPr>
        <w:jc w:val="center"/>
        <w:outlineLvl w:val="0"/>
        <w:rPr>
          <w:b/>
          <w:sz w:val="44"/>
          <w:szCs w:val="44"/>
        </w:rPr>
      </w:pPr>
      <w:r>
        <w:rPr>
          <w:rFonts w:hint="eastAsia"/>
          <w:b/>
          <w:sz w:val="44"/>
          <w:szCs w:val="44"/>
          <w:lang w:val="en-US" w:eastAsia="zh-CN"/>
        </w:rPr>
        <w:t>2026</w:t>
      </w:r>
      <w:r>
        <w:rPr>
          <w:rFonts w:hint="eastAsia"/>
          <w:b/>
          <w:sz w:val="44"/>
          <w:szCs w:val="44"/>
        </w:rPr>
        <w:t>年</w:t>
      </w:r>
      <w:r>
        <w:rPr>
          <w:rFonts w:hint="eastAsia"/>
          <w:b/>
          <w:sz w:val="44"/>
          <w:szCs w:val="44"/>
          <w:lang w:eastAsia="zh-CN"/>
        </w:rPr>
        <w:t>巴彦淖尔市市场监督管理局产品质</w:t>
      </w:r>
      <w:r>
        <w:rPr>
          <w:rFonts w:hint="eastAsia"/>
          <w:b/>
          <w:sz w:val="44"/>
          <w:szCs w:val="44"/>
        </w:rPr>
        <w:t>量监督抽查实施方案</w:t>
      </w:r>
    </w:p>
    <w:p w14:paraId="37FA0309">
      <w:pPr>
        <w:autoSpaceDE w:val="0"/>
        <w:autoSpaceDN w:val="0"/>
        <w:adjustRightInd w:val="0"/>
        <w:ind w:firstLine="640" w:firstLineChars="200"/>
        <w:jc w:val="left"/>
        <w:rPr>
          <w:rFonts w:ascii="仿宋" w:hAnsi="仿宋" w:eastAsia="仿宋"/>
          <w:sz w:val="32"/>
          <w:szCs w:val="32"/>
        </w:rPr>
      </w:pPr>
    </w:p>
    <w:p w14:paraId="1CCB0A91">
      <w:pPr>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olor w:val="000000"/>
          <w:sz w:val="32"/>
          <w:szCs w:val="32"/>
        </w:rPr>
        <w:t>为提高产品质量安全监管效能，预防化解产品质量领域重大风险，保障人民群众人身财产安全，着力营造公平竞争的市场环境和安全放心的消费环境，</w:t>
      </w:r>
      <w:r>
        <w:rPr>
          <w:rFonts w:hint="eastAsia" w:ascii="仿宋" w:hAnsi="仿宋" w:eastAsia="仿宋"/>
          <w:color w:val="000000"/>
          <w:sz w:val="32"/>
          <w:szCs w:val="32"/>
          <w:lang w:eastAsia="zh-CN"/>
        </w:rPr>
        <w:t>巴彦淖尔市市场监督管理局</w:t>
      </w:r>
      <w:r>
        <w:rPr>
          <w:rFonts w:hint="eastAsia" w:ascii="仿宋" w:hAnsi="仿宋" w:eastAsia="仿宋"/>
          <w:color w:val="000000"/>
          <w:sz w:val="32"/>
          <w:szCs w:val="32"/>
        </w:rPr>
        <w:t>拟于</w:t>
      </w:r>
      <w:r>
        <w:rPr>
          <w:rFonts w:hint="eastAsia" w:ascii="仿宋" w:hAnsi="仿宋" w:eastAsia="仿宋"/>
          <w:color w:val="000000"/>
          <w:sz w:val="32"/>
          <w:szCs w:val="32"/>
          <w:lang w:val="en-US" w:eastAsia="zh-CN"/>
        </w:rPr>
        <w:t>2026</w:t>
      </w:r>
      <w:r>
        <w:rPr>
          <w:rFonts w:hint="eastAsia" w:ascii="仿宋" w:hAnsi="仿宋" w:eastAsia="仿宋" w:cs="仿宋"/>
          <w:color w:val="000000"/>
          <w:sz w:val="32"/>
          <w:szCs w:val="32"/>
        </w:rPr>
        <w:t>年</w:t>
      </w:r>
      <w:r>
        <w:rPr>
          <w:rFonts w:hint="eastAsia" w:ascii="仿宋" w:hAnsi="仿宋" w:eastAsia="仿宋"/>
          <w:color w:val="000000"/>
          <w:sz w:val="32"/>
          <w:szCs w:val="32"/>
        </w:rPr>
        <w:t>组织</w:t>
      </w:r>
      <w:r>
        <w:rPr>
          <w:rFonts w:hint="eastAsia" w:ascii="仿宋" w:hAnsi="仿宋" w:eastAsia="仿宋"/>
          <w:color w:val="000000"/>
          <w:sz w:val="32"/>
          <w:szCs w:val="32"/>
          <w:lang w:eastAsia="zh-CN"/>
        </w:rPr>
        <w:t>开展</w:t>
      </w:r>
      <w:r>
        <w:rPr>
          <w:rFonts w:hint="eastAsia" w:ascii="仿宋" w:hAnsi="仿宋" w:eastAsia="仿宋"/>
          <w:color w:val="000000"/>
          <w:sz w:val="32"/>
          <w:szCs w:val="32"/>
          <w:highlight w:val="none"/>
          <w:lang w:val="en-US" w:eastAsia="zh-CN"/>
        </w:rPr>
        <w:t>车用汽油、醇基液体燃料、电动自行车（外检）、电动自行车用充电器、电动自行车用蓄电池、烟花爆竹、食品接触用塑料包装膜、袋、餐用洗涤剂等</w:t>
      </w:r>
      <w:r>
        <w:rPr>
          <w:rFonts w:hint="eastAsia" w:ascii="仿宋" w:hAnsi="仿宋" w:eastAsia="仿宋"/>
          <w:color w:val="000000"/>
          <w:sz w:val="32"/>
          <w:szCs w:val="32"/>
          <w:lang w:eastAsia="zh-CN"/>
        </w:rPr>
        <w:t>产</w:t>
      </w:r>
      <w:r>
        <w:rPr>
          <w:rFonts w:hint="eastAsia" w:ascii="仿宋" w:hAnsi="仿宋" w:eastAsia="仿宋" w:cs="仿宋"/>
          <w:color w:val="000000"/>
          <w:sz w:val="32"/>
          <w:szCs w:val="32"/>
        </w:rPr>
        <w:t>品质量监督抽查，特制定方案如下。</w:t>
      </w:r>
    </w:p>
    <w:p w14:paraId="6A499A58">
      <w:pPr>
        <w:widowControl/>
        <w:tabs>
          <w:tab w:val="left" w:pos="720"/>
        </w:tabs>
        <w:adjustRightInd w:val="0"/>
        <w:spacing w:line="560" w:lineRule="exact"/>
        <w:jc w:val="left"/>
        <w:outlineLvl w:val="0"/>
        <w:rPr>
          <w:rFonts w:ascii="黑体" w:hAnsi="黑体" w:eastAsia="黑体"/>
          <w:b/>
          <w:color w:val="000000"/>
          <w:sz w:val="32"/>
          <w:szCs w:val="32"/>
        </w:rPr>
      </w:pPr>
      <w:r>
        <w:rPr>
          <w:rFonts w:hint="eastAsia" w:ascii="黑体" w:hAnsi="黑体" w:eastAsia="黑体"/>
          <w:b/>
          <w:color w:val="000000"/>
          <w:sz w:val="32"/>
          <w:szCs w:val="32"/>
        </w:rPr>
        <w:t>一、抽检品种及分类</w:t>
      </w:r>
    </w:p>
    <w:p w14:paraId="1E5A1E43">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本次监督抽查的品种</w:t>
      </w:r>
      <w:r>
        <w:rPr>
          <w:rFonts w:hint="eastAsia" w:ascii="仿宋" w:hAnsi="仿宋" w:eastAsia="仿宋"/>
          <w:color w:val="000000"/>
          <w:sz w:val="32"/>
          <w:szCs w:val="32"/>
          <w:lang w:val="en-US" w:eastAsia="zh-CN"/>
        </w:rPr>
        <w:t>为</w:t>
      </w:r>
      <w:r>
        <w:rPr>
          <w:rFonts w:hint="eastAsia" w:ascii="仿宋" w:hAnsi="仿宋" w:eastAsia="仿宋"/>
          <w:color w:val="000000"/>
          <w:sz w:val="32"/>
          <w:szCs w:val="32"/>
          <w:highlight w:val="none"/>
          <w:lang w:val="en-US" w:eastAsia="zh-CN"/>
        </w:rPr>
        <w:t>车用汽油、醇基液体燃料、电动自行车（外检）、电动自行车用充电器、电动自行车用蓄电池、烟花爆竹、食品接触用塑料包装膜、袋、餐用洗涤剂</w:t>
      </w:r>
      <w:r>
        <w:rPr>
          <w:rFonts w:hint="eastAsia" w:ascii="仿宋" w:hAnsi="仿宋" w:eastAsia="仿宋"/>
          <w:color w:val="000000"/>
          <w:sz w:val="32"/>
          <w:szCs w:val="32"/>
          <w:lang w:val="en-US" w:eastAsia="zh-CN"/>
        </w:rPr>
        <w:t>等</w:t>
      </w:r>
      <w:r>
        <w:rPr>
          <w:rFonts w:hint="eastAsia" w:ascii="仿宋" w:hAnsi="仿宋" w:eastAsia="仿宋"/>
          <w:color w:val="000000"/>
          <w:sz w:val="32"/>
          <w:szCs w:val="32"/>
          <w:lang w:val="en-US" w:eastAsia="zh"/>
        </w:rPr>
        <w:t>产</w:t>
      </w:r>
      <w:r>
        <w:rPr>
          <w:rFonts w:hint="eastAsia" w:ascii="仿宋" w:hAnsi="仿宋" w:eastAsia="仿宋" w:cs="仿宋"/>
          <w:sz w:val="32"/>
          <w:szCs w:val="32"/>
        </w:rPr>
        <w:t>品</w:t>
      </w:r>
      <w:r>
        <w:rPr>
          <w:rFonts w:hint="eastAsia" w:ascii="仿宋" w:hAnsi="仿宋" w:eastAsia="仿宋" w:cs="仿宋"/>
          <w:sz w:val="32"/>
          <w:szCs w:val="32"/>
          <w:lang w:val="en-US" w:eastAsia="zh-CN"/>
        </w:rPr>
        <w:t>8</w:t>
      </w:r>
      <w:r>
        <w:rPr>
          <w:rFonts w:hint="eastAsia" w:ascii="仿宋" w:hAnsi="仿宋" w:eastAsia="仿宋" w:cs="仿宋"/>
          <w:sz w:val="32"/>
          <w:szCs w:val="32"/>
        </w:rPr>
        <w:t>个品</w:t>
      </w:r>
      <w:r>
        <w:rPr>
          <w:rFonts w:hint="eastAsia" w:ascii="仿宋" w:hAnsi="仿宋" w:eastAsia="仿宋" w:cs="仿宋"/>
          <w:sz w:val="32"/>
          <w:szCs w:val="32"/>
          <w:lang w:val="en-US" w:eastAsia="zh-CN"/>
        </w:rPr>
        <w:t>种。</w:t>
      </w:r>
    </w:p>
    <w:p w14:paraId="28DAE7C8">
      <w:pPr>
        <w:widowControl/>
        <w:tabs>
          <w:tab w:val="left" w:pos="720"/>
        </w:tabs>
        <w:adjustRightInd w:val="0"/>
        <w:spacing w:line="560" w:lineRule="exact"/>
        <w:jc w:val="left"/>
        <w:outlineLvl w:val="0"/>
        <w:rPr>
          <w:rFonts w:ascii="黑体" w:hAnsi="黑体" w:eastAsia="黑体"/>
          <w:b/>
          <w:color w:val="000000"/>
          <w:sz w:val="32"/>
          <w:szCs w:val="32"/>
        </w:rPr>
      </w:pPr>
      <w:r>
        <w:rPr>
          <w:rFonts w:hint="eastAsia" w:ascii="黑体" w:hAnsi="黑体" w:eastAsia="黑体"/>
          <w:b/>
          <w:color w:val="000000"/>
          <w:sz w:val="32"/>
          <w:szCs w:val="32"/>
          <w:lang w:eastAsia="zh-CN"/>
        </w:rPr>
        <w:t>二</w:t>
      </w:r>
      <w:r>
        <w:rPr>
          <w:rFonts w:hint="eastAsia" w:ascii="黑体" w:hAnsi="黑体" w:eastAsia="黑体"/>
          <w:b/>
          <w:color w:val="000000"/>
          <w:sz w:val="32"/>
          <w:szCs w:val="32"/>
        </w:rPr>
        <w:t>、抽样地点及场所</w:t>
      </w:r>
    </w:p>
    <w:p w14:paraId="6EE36ADF">
      <w:pPr>
        <w:topLinePunct/>
        <w:adjustRightInd w:val="0"/>
        <w:ind w:firstLine="640" w:firstLineChars="200"/>
        <w:rPr>
          <w:rFonts w:ascii="仿宋" w:hAnsi="仿宋" w:eastAsia="仿宋"/>
          <w:color w:val="000000"/>
          <w:sz w:val="32"/>
          <w:szCs w:val="32"/>
        </w:rPr>
      </w:pPr>
      <w:r>
        <w:rPr>
          <w:rFonts w:hint="eastAsia" w:ascii="仿宋" w:hAnsi="仿宋" w:eastAsia="仿宋"/>
          <w:color w:val="000000"/>
          <w:sz w:val="32"/>
          <w:szCs w:val="32"/>
        </w:rPr>
        <w:t>本次抽样地点</w:t>
      </w:r>
      <w:r>
        <w:rPr>
          <w:rFonts w:hint="eastAsia" w:ascii="仿宋" w:hAnsi="仿宋" w:eastAsia="仿宋"/>
          <w:color w:val="000000"/>
          <w:sz w:val="32"/>
          <w:szCs w:val="32"/>
          <w:lang w:eastAsia="zh-CN"/>
        </w:rPr>
        <w:t>为巴彦淖尔市市场监督管理局所辖区域内。</w:t>
      </w:r>
    </w:p>
    <w:p w14:paraId="7DD9AD80">
      <w:pPr>
        <w:widowControl/>
        <w:tabs>
          <w:tab w:val="left" w:pos="720"/>
        </w:tabs>
        <w:adjustRightInd w:val="0"/>
        <w:spacing w:line="560" w:lineRule="exact"/>
        <w:jc w:val="left"/>
        <w:outlineLvl w:val="0"/>
        <w:rPr>
          <w:rFonts w:ascii="黑体" w:hAnsi="黑体" w:eastAsia="黑体"/>
          <w:b/>
          <w:color w:val="000000"/>
          <w:sz w:val="32"/>
          <w:szCs w:val="32"/>
        </w:rPr>
      </w:pPr>
      <w:r>
        <w:rPr>
          <w:rFonts w:hint="eastAsia" w:ascii="黑体" w:hAnsi="黑体" w:eastAsia="黑体"/>
          <w:b/>
          <w:color w:val="000000"/>
          <w:sz w:val="32"/>
          <w:szCs w:val="32"/>
          <w:lang w:eastAsia="zh-CN"/>
        </w:rPr>
        <w:t>三</w:t>
      </w:r>
      <w:r>
        <w:rPr>
          <w:rFonts w:hint="eastAsia" w:ascii="黑体" w:hAnsi="黑体" w:eastAsia="黑体"/>
          <w:b/>
          <w:color w:val="000000"/>
          <w:sz w:val="32"/>
          <w:szCs w:val="32"/>
        </w:rPr>
        <w:t>、抽样方法</w:t>
      </w:r>
    </w:p>
    <w:p w14:paraId="775C428B">
      <w:pPr>
        <w:autoSpaceDE w:val="0"/>
        <w:autoSpaceDN w:val="0"/>
        <w:adjustRightInd w:val="0"/>
        <w:ind w:firstLine="640" w:firstLineChars="200"/>
        <w:jc w:val="left"/>
        <w:rPr>
          <w:rFonts w:hint="eastAsia" w:ascii="仿宋" w:hAnsi="仿宋" w:eastAsia="仿宋" w:cs="仿宋"/>
          <w:color w:val="000000"/>
          <w:sz w:val="24"/>
          <w:szCs w:val="24"/>
          <w:lang w:val="en-US" w:eastAsia="zh-CN"/>
        </w:rPr>
      </w:pPr>
      <w:r>
        <w:rPr>
          <w:rFonts w:hint="eastAsia" w:ascii="仿宋" w:hAnsi="仿宋" w:eastAsia="仿宋"/>
          <w:color w:val="000000"/>
          <w:sz w:val="32"/>
          <w:szCs w:val="32"/>
        </w:rPr>
        <w:t>在市场上，随机抽取同一品牌、同一生产厂家、同一规格型号、同一批次的，并有产品质量检验合格证明或者以其他形式表明合格的产品。抽样基数应不少于抽取样品量，备份样品封存于销售者处。</w:t>
      </w:r>
      <w:r>
        <w:rPr>
          <w:rFonts w:hint="eastAsia" w:ascii="仿宋" w:hAnsi="仿宋" w:eastAsia="仿宋"/>
          <w:color w:val="000000"/>
          <w:sz w:val="32"/>
          <w:szCs w:val="32"/>
          <w:lang w:eastAsia="zh-CN"/>
        </w:rPr>
        <w:t>每批次产品抽样数量见表</w:t>
      </w:r>
      <w:r>
        <w:rPr>
          <w:rFonts w:hint="eastAsia" w:ascii="仿宋" w:hAnsi="仿宋" w:eastAsia="仿宋"/>
          <w:color w:val="000000"/>
          <w:sz w:val="32"/>
          <w:szCs w:val="32"/>
          <w:lang w:val="en-US" w:eastAsia="zh-CN"/>
        </w:rPr>
        <w:t>1。</w:t>
      </w:r>
    </w:p>
    <w:p w14:paraId="26D53931">
      <w:pPr>
        <w:pStyle w:val="5"/>
        <w:ind w:left="0" w:leftChars="0" w:firstLine="0" w:firstLineChars="0"/>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表1 各产品抽样数量</w:t>
      </w:r>
    </w:p>
    <w:tbl>
      <w:tblPr>
        <w:tblStyle w:val="27"/>
        <w:tblW w:w="9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648"/>
        <w:gridCol w:w="1061"/>
        <w:gridCol w:w="2265"/>
        <w:gridCol w:w="2337"/>
        <w:gridCol w:w="1908"/>
      </w:tblGrid>
      <w:tr w14:paraId="3F2C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dxa"/>
            <w:noWrap w:val="0"/>
            <w:vAlign w:val="center"/>
          </w:tcPr>
          <w:p w14:paraId="226A178D">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序号</w:t>
            </w:r>
          </w:p>
        </w:tc>
        <w:tc>
          <w:tcPr>
            <w:tcW w:w="2709" w:type="dxa"/>
            <w:gridSpan w:val="2"/>
            <w:noWrap w:val="0"/>
            <w:vAlign w:val="center"/>
          </w:tcPr>
          <w:p w14:paraId="1C5E274C">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产品名称</w:t>
            </w:r>
          </w:p>
        </w:tc>
        <w:tc>
          <w:tcPr>
            <w:tcW w:w="2265" w:type="dxa"/>
            <w:noWrap w:val="0"/>
            <w:vAlign w:val="center"/>
          </w:tcPr>
          <w:p w14:paraId="286B7C6B">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抽样数量</w:t>
            </w:r>
          </w:p>
        </w:tc>
        <w:tc>
          <w:tcPr>
            <w:tcW w:w="2337" w:type="dxa"/>
            <w:noWrap w:val="0"/>
            <w:vAlign w:val="center"/>
          </w:tcPr>
          <w:p w14:paraId="098EB133">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检样数量</w:t>
            </w:r>
          </w:p>
        </w:tc>
        <w:tc>
          <w:tcPr>
            <w:tcW w:w="1908" w:type="dxa"/>
            <w:noWrap w:val="0"/>
            <w:vAlign w:val="center"/>
          </w:tcPr>
          <w:p w14:paraId="54DC71F8">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备样数量</w:t>
            </w:r>
          </w:p>
        </w:tc>
      </w:tr>
      <w:tr w14:paraId="0442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dxa"/>
            <w:noWrap w:val="0"/>
            <w:vAlign w:val="center"/>
          </w:tcPr>
          <w:p w14:paraId="1AFC7B20">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p>
        </w:tc>
        <w:tc>
          <w:tcPr>
            <w:tcW w:w="2709" w:type="dxa"/>
            <w:gridSpan w:val="2"/>
            <w:noWrap w:val="0"/>
            <w:vAlign w:val="center"/>
          </w:tcPr>
          <w:p w14:paraId="20D00AAF">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color w:val="000000"/>
                <w:kern w:val="0"/>
                <w:sz w:val="24"/>
                <w:szCs w:val="24"/>
                <w:u w:val="none"/>
                <w:lang w:val="en-US" w:eastAsia="zh-CN" w:bidi="ar"/>
              </w:rPr>
              <w:t>车用汽油</w:t>
            </w:r>
          </w:p>
        </w:tc>
        <w:tc>
          <w:tcPr>
            <w:tcW w:w="2265" w:type="dxa"/>
            <w:noWrap w:val="0"/>
            <w:vAlign w:val="center"/>
          </w:tcPr>
          <w:p w14:paraId="16207FEC">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sz w:val="24"/>
                <w:szCs w:val="24"/>
                <w:lang w:val="en-US" w:eastAsia="zh-CN"/>
              </w:rPr>
              <w:t>L</w:t>
            </w:r>
          </w:p>
        </w:tc>
        <w:tc>
          <w:tcPr>
            <w:tcW w:w="2337" w:type="dxa"/>
            <w:noWrap w:val="0"/>
            <w:vAlign w:val="center"/>
          </w:tcPr>
          <w:p w14:paraId="31817507">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sz w:val="24"/>
                <w:szCs w:val="24"/>
                <w:lang w:val="en-US" w:eastAsia="zh-CN"/>
              </w:rPr>
              <w:t>L</w:t>
            </w:r>
          </w:p>
        </w:tc>
        <w:tc>
          <w:tcPr>
            <w:tcW w:w="1908" w:type="dxa"/>
            <w:noWrap w:val="0"/>
            <w:vAlign w:val="center"/>
          </w:tcPr>
          <w:p w14:paraId="7C261054">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sz w:val="24"/>
                <w:szCs w:val="24"/>
                <w:lang w:val="en-US" w:eastAsia="zh-CN"/>
              </w:rPr>
              <w:t>L</w:t>
            </w:r>
          </w:p>
        </w:tc>
      </w:tr>
      <w:tr w14:paraId="3AF0F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dxa"/>
            <w:noWrap w:val="0"/>
            <w:vAlign w:val="center"/>
          </w:tcPr>
          <w:p w14:paraId="710363D9">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p>
        </w:tc>
        <w:tc>
          <w:tcPr>
            <w:tcW w:w="2709" w:type="dxa"/>
            <w:gridSpan w:val="2"/>
            <w:noWrap w:val="0"/>
            <w:vAlign w:val="center"/>
          </w:tcPr>
          <w:p w14:paraId="7079889F">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醇基液体燃料</w:t>
            </w:r>
          </w:p>
        </w:tc>
        <w:tc>
          <w:tcPr>
            <w:tcW w:w="2265" w:type="dxa"/>
            <w:shd w:val="clear"/>
            <w:noWrap w:val="0"/>
            <w:vAlign w:val="center"/>
          </w:tcPr>
          <w:p w14:paraId="6CAA7F90">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sz w:val="24"/>
                <w:szCs w:val="24"/>
                <w:lang w:val="en-US" w:eastAsia="zh-CN"/>
              </w:rPr>
              <w:t>L</w:t>
            </w:r>
          </w:p>
        </w:tc>
        <w:tc>
          <w:tcPr>
            <w:tcW w:w="2337" w:type="dxa"/>
            <w:shd w:val="clear"/>
            <w:noWrap w:val="0"/>
            <w:vAlign w:val="center"/>
          </w:tcPr>
          <w:p w14:paraId="15E882E9">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sz w:val="24"/>
                <w:szCs w:val="24"/>
                <w:lang w:val="en-US" w:eastAsia="zh-CN"/>
              </w:rPr>
              <w:t>L</w:t>
            </w:r>
          </w:p>
        </w:tc>
        <w:tc>
          <w:tcPr>
            <w:tcW w:w="1908" w:type="dxa"/>
            <w:shd w:val="clear"/>
            <w:noWrap w:val="0"/>
            <w:vAlign w:val="center"/>
          </w:tcPr>
          <w:p w14:paraId="733BB419">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sz w:val="24"/>
                <w:szCs w:val="24"/>
                <w:lang w:val="en-US" w:eastAsia="zh-CN"/>
              </w:rPr>
              <w:t>L</w:t>
            </w:r>
          </w:p>
        </w:tc>
      </w:tr>
      <w:tr w14:paraId="5F4B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dxa"/>
            <w:noWrap w:val="0"/>
            <w:vAlign w:val="center"/>
          </w:tcPr>
          <w:p w14:paraId="705F0A11">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p>
        </w:tc>
        <w:tc>
          <w:tcPr>
            <w:tcW w:w="2709" w:type="dxa"/>
            <w:gridSpan w:val="2"/>
            <w:noWrap w:val="0"/>
            <w:vAlign w:val="center"/>
          </w:tcPr>
          <w:p w14:paraId="2FD46254">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000000"/>
                <w:sz w:val="24"/>
                <w:szCs w:val="24"/>
                <w:highlight w:val="none"/>
                <w:lang w:val="en-US" w:eastAsia="zh-CN"/>
              </w:rPr>
              <w:t>电动自行车</w:t>
            </w:r>
          </w:p>
        </w:tc>
        <w:tc>
          <w:tcPr>
            <w:tcW w:w="2265" w:type="dxa"/>
            <w:noWrap w:val="0"/>
            <w:vAlign w:val="center"/>
          </w:tcPr>
          <w:p w14:paraId="6F7920EA">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sz w:val="24"/>
                <w:szCs w:val="24"/>
                <w:lang w:val="en-US" w:eastAsia="zh-CN"/>
              </w:rPr>
              <w:t>辆</w:t>
            </w:r>
          </w:p>
        </w:tc>
        <w:tc>
          <w:tcPr>
            <w:tcW w:w="2337" w:type="dxa"/>
            <w:noWrap w:val="0"/>
            <w:vAlign w:val="center"/>
          </w:tcPr>
          <w:p w14:paraId="56305CF4">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sz w:val="24"/>
                <w:szCs w:val="24"/>
                <w:lang w:val="en-US" w:eastAsia="zh-CN"/>
              </w:rPr>
              <w:t>辆</w:t>
            </w:r>
          </w:p>
        </w:tc>
        <w:tc>
          <w:tcPr>
            <w:tcW w:w="1908" w:type="dxa"/>
            <w:noWrap w:val="0"/>
            <w:vAlign w:val="center"/>
          </w:tcPr>
          <w:p w14:paraId="355238B5">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sz w:val="24"/>
                <w:szCs w:val="24"/>
                <w:lang w:val="en-US" w:eastAsia="zh-CN"/>
              </w:rPr>
              <w:t>辆</w:t>
            </w:r>
          </w:p>
        </w:tc>
      </w:tr>
      <w:tr w14:paraId="552B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dxa"/>
            <w:noWrap w:val="0"/>
            <w:vAlign w:val="center"/>
          </w:tcPr>
          <w:p w14:paraId="67C10B53">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w:t>
            </w:r>
          </w:p>
        </w:tc>
        <w:tc>
          <w:tcPr>
            <w:tcW w:w="2709" w:type="dxa"/>
            <w:gridSpan w:val="2"/>
            <w:noWrap w:val="0"/>
            <w:vAlign w:val="center"/>
          </w:tcPr>
          <w:p w14:paraId="0F8970B2">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000000"/>
                <w:sz w:val="24"/>
                <w:szCs w:val="24"/>
                <w:highlight w:val="none"/>
                <w:lang w:val="en-US" w:eastAsia="zh-CN"/>
              </w:rPr>
              <w:t>电动自行车用充电器</w:t>
            </w:r>
          </w:p>
        </w:tc>
        <w:tc>
          <w:tcPr>
            <w:tcW w:w="2265" w:type="dxa"/>
            <w:noWrap w:val="0"/>
            <w:vAlign w:val="center"/>
          </w:tcPr>
          <w:p w14:paraId="55BB1778">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sz w:val="24"/>
                <w:szCs w:val="24"/>
                <w:lang w:val="en-US" w:eastAsia="zh-CN"/>
              </w:rPr>
              <w:t>只</w:t>
            </w:r>
          </w:p>
        </w:tc>
        <w:tc>
          <w:tcPr>
            <w:tcW w:w="2337" w:type="dxa"/>
            <w:noWrap w:val="0"/>
            <w:vAlign w:val="center"/>
          </w:tcPr>
          <w:p w14:paraId="2DED8B07">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sz w:val="24"/>
                <w:szCs w:val="24"/>
                <w:lang w:val="en-US" w:eastAsia="zh-CN"/>
              </w:rPr>
              <w:t>只</w:t>
            </w:r>
          </w:p>
        </w:tc>
        <w:tc>
          <w:tcPr>
            <w:tcW w:w="1908" w:type="dxa"/>
            <w:noWrap w:val="0"/>
            <w:vAlign w:val="center"/>
          </w:tcPr>
          <w:p w14:paraId="44A9D0F3">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sz w:val="24"/>
                <w:szCs w:val="24"/>
                <w:lang w:val="en-US" w:eastAsia="zh-CN"/>
              </w:rPr>
              <w:t>只</w:t>
            </w:r>
          </w:p>
        </w:tc>
      </w:tr>
      <w:tr w14:paraId="4C79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dxa"/>
            <w:noWrap w:val="0"/>
            <w:vAlign w:val="center"/>
          </w:tcPr>
          <w:p w14:paraId="438C7B06">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w:t>
            </w:r>
          </w:p>
        </w:tc>
        <w:tc>
          <w:tcPr>
            <w:tcW w:w="2709" w:type="dxa"/>
            <w:gridSpan w:val="2"/>
            <w:noWrap w:val="0"/>
            <w:vAlign w:val="center"/>
          </w:tcPr>
          <w:p w14:paraId="776CE562">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color w:val="000000"/>
                <w:kern w:val="0"/>
                <w:sz w:val="24"/>
                <w:szCs w:val="24"/>
                <w:u w:val="none"/>
                <w:lang w:val="en-US" w:eastAsia="zh-CN" w:bidi="ar"/>
              </w:rPr>
              <w:t>电动助力车用阀控式铅酸蓄电池</w:t>
            </w:r>
          </w:p>
        </w:tc>
        <w:tc>
          <w:tcPr>
            <w:tcW w:w="2265" w:type="dxa"/>
            <w:noWrap w:val="0"/>
            <w:vAlign w:val="center"/>
          </w:tcPr>
          <w:p w14:paraId="544AAC2B">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sz w:val="24"/>
                <w:szCs w:val="24"/>
                <w:lang w:val="en-US" w:eastAsia="zh-CN"/>
              </w:rPr>
              <w:t>只</w:t>
            </w:r>
          </w:p>
        </w:tc>
        <w:tc>
          <w:tcPr>
            <w:tcW w:w="2337" w:type="dxa"/>
            <w:noWrap w:val="0"/>
            <w:vAlign w:val="center"/>
          </w:tcPr>
          <w:p w14:paraId="5051FDED">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sz w:val="24"/>
                <w:szCs w:val="24"/>
                <w:lang w:val="en-US" w:eastAsia="zh-CN"/>
              </w:rPr>
              <w:t>只</w:t>
            </w:r>
          </w:p>
        </w:tc>
        <w:tc>
          <w:tcPr>
            <w:tcW w:w="1908" w:type="dxa"/>
            <w:noWrap w:val="0"/>
            <w:vAlign w:val="center"/>
          </w:tcPr>
          <w:p w14:paraId="3F8E1EC3">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sz w:val="24"/>
                <w:szCs w:val="24"/>
                <w:lang w:val="en-US" w:eastAsia="zh-CN"/>
              </w:rPr>
              <w:t>只</w:t>
            </w:r>
          </w:p>
        </w:tc>
      </w:tr>
      <w:tr w14:paraId="0F79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dxa"/>
            <w:noWrap w:val="0"/>
            <w:vAlign w:val="center"/>
          </w:tcPr>
          <w:p w14:paraId="604A21A6">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w:t>
            </w:r>
          </w:p>
        </w:tc>
        <w:tc>
          <w:tcPr>
            <w:tcW w:w="2709" w:type="dxa"/>
            <w:gridSpan w:val="2"/>
            <w:noWrap w:val="0"/>
            <w:vAlign w:val="center"/>
          </w:tcPr>
          <w:p w14:paraId="0441CF9F">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烟花爆竹</w:t>
            </w:r>
          </w:p>
        </w:tc>
        <w:tc>
          <w:tcPr>
            <w:tcW w:w="6510" w:type="dxa"/>
            <w:gridSpan w:val="3"/>
            <w:noWrap w:val="0"/>
            <w:vAlign w:val="center"/>
          </w:tcPr>
          <w:p w14:paraId="4381C2BC">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sz w:val="24"/>
                <w:szCs w:val="24"/>
              </w:rPr>
              <w:t>检验样品数量按表</w:t>
            </w:r>
            <w:r>
              <w:rPr>
                <w:rFonts w:hint="eastAsia" w:ascii="仿宋" w:hAnsi="仿宋" w:eastAsia="仿宋" w:cs="仿宋"/>
                <w:sz w:val="24"/>
                <w:szCs w:val="24"/>
                <w:lang w:val="en-US" w:eastAsia="zh-CN"/>
              </w:rPr>
              <w:t>2</w:t>
            </w:r>
            <w:r>
              <w:rPr>
                <w:rFonts w:hint="eastAsia" w:ascii="仿宋" w:hAnsi="仿宋" w:eastAsia="仿宋" w:cs="仿宋"/>
                <w:sz w:val="24"/>
                <w:szCs w:val="24"/>
              </w:rPr>
              <w:t>、表</w:t>
            </w:r>
            <w:r>
              <w:rPr>
                <w:rFonts w:hint="eastAsia" w:ascii="仿宋" w:hAnsi="仿宋" w:eastAsia="仿宋" w:cs="仿宋"/>
                <w:sz w:val="24"/>
                <w:szCs w:val="24"/>
                <w:lang w:val="en-US" w:eastAsia="zh-CN"/>
              </w:rPr>
              <w:t>3</w:t>
            </w:r>
            <w:r>
              <w:rPr>
                <w:rFonts w:hint="eastAsia" w:ascii="仿宋" w:hAnsi="仿宋" w:eastAsia="仿宋" w:cs="仿宋"/>
                <w:sz w:val="24"/>
                <w:szCs w:val="24"/>
              </w:rPr>
              <w:t>和表</w:t>
            </w:r>
            <w:r>
              <w:rPr>
                <w:rFonts w:hint="eastAsia" w:ascii="仿宋" w:hAnsi="仿宋" w:eastAsia="仿宋" w:cs="仿宋"/>
                <w:sz w:val="24"/>
                <w:szCs w:val="24"/>
                <w:lang w:val="en-US" w:eastAsia="zh-CN"/>
              </w:rPr>
              <w:t>4</w:t>
            </w:r>
            <w:r>
              <w:rPr>
                <w:rFonts w:hint="eastAsia" w:ascii="仿宋" w:hAnsi="仿宋" w:eastAsia="仿宋" w:cs="仿宋"/>
                <w:sz w:val="24"/>
                <w:szCs w:val="24"/>
              </w:rPr>
              <w:t>的规定执行</w:t>
            </w:r>
          </w:p>
        </w:tc>
      </w:tr>
      <w:tr w14:paraId="35C0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4" w:type="dxa"/>
            <w:vMerge w:val="restart"/>
            <w:noWrap w:val="0"/>
            <w:vAlign w:val="center"/>
          </w:tcPr>
          <w:p w14:paraId="657ED34E">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w:t>
            </w:r>
          </w:p>
        </w:tc>
        <w:tc>
          <w:tcPr>
            <w:tcW w:w="1648" w:type="dxa"/>
            <w:vMerge w:val="restart"/>
            <w:noWrap w:val="0"/>
            <w:vAlign w:val="center"/>
          </w:tcPr>
          <w:p w14:paraId="76F746DB">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rPr>
              <w:t>食品接触用塑料包装膜、</w:t>
            </w:r>
            <w:r>
              <w:rPr>
                <w:rFonts w:hint="eastAsia" w:ascii="仿宋" w:hAnsi="仿宋" w:eastAsia="仿宋" w:cs="仿宋"/>
                <w:color w:val="auto"/>
                <w:sz w:val="24"/>
                <w:szCs w:val="24"/>
                <w:highlight w:val="none"/>
                <w:lang w:val="en-US" w:eastAsia="zh-CN"/>
              </w:rPr>
              <w:t>袋</w:t>
            </w:r>
          </w:p>
        </w:tc>
        <w:tc>
          <w:tcPr>
            <w:tcW w:w="1061" w:type="dxa"/>
            <w:shd w:val="clear"/>
            <w:noWrap w:val="0"/>
            <w:vAlign w:val="center"/>
          </w:tcPr>
          <w:p w14:paraId="675E97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袋</w:t>
            </w:r>
          </w:p>
        </w:tc>
        <w:tc>
          <w:tcPr>
            <w:tcW w:w="2265" w:type="dxa"/>
            <w:shd w:val="clear"/>
            <w:noWrap w:val="0"/>
            <w:vAlign w:val="center"/>
          </w:tcPr>
          <w:p w14:paraId="16D843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color w:val="auto"/>
                <w:kern w:val="0"/>
                <w:sz w:val="24"/>
                <w:szCs w:val="24"/>
                <w:highlight w:val="none"/>
                <w:u w:val="none"/>
                <w:lang w:val="en-US" w:eastAsia="zh-CN" w:bidi="ar"/>
              </w:rPr>
              <w:t>不少于100个</w:t>
            </w:r>
          </w:p>
        </w:tc>
        <w:tc>
          <w:tcPr>
            <w:tcW w:w="2337" w:type="dxa"/>
            <w:shd w:val="clear"/>
            <w:noWrap w:val="0"/>
            <w:vAlign w:val="center"/>
          </w:tcPr>
          <w:p w14:paraId="5B893B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color w:val="auto"/>
                <w:kern w:val="0"/>
                <w:sz w:val="24"/>
                <w:szCs w:val="24"/>
                <w:highlight w:val="none"/>
                <w:u w:val="none"/>
                <w:lang w:val="en-US" w:eastAsia="zh-CN" w:bidi="ar"/>
              </w:rPr>
              <w:t>不少于50个</w:t>
            </w:r>
          </w:p>
        </w:tc>
        <w:tc>
          <w:tcPr>
            <w:tcW w:w="1908" w:type="dxa"/>
            <w:shd w:val="clear"/>
            <w:noWrap w:val="0"/>
            <w:vAlign w:val="center"/>
          </w:tcPr>
          <w:p w14:paraId="0934E75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color w:val="auto"/>
                <w:kern w:val="0"/>
                <w:sz w:val="24"/>
                <w:szCs w:val="24"/>
                <w:highlight w:val="none"/>
                <w:u w:val="none"/>
                <w:lang w:val="en-US" w:eastAsia="zh-CN" w:bidi="ar"/>
              </w:rPr>
              <w:t>不少于50个</w:t>
            </w:r>
          </w:p>
        </w:tc>
      </w:tr>
      <w:tr w14:paraId="53DF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44" w:type="dxa"/>
            <w:vMerge w:val="continue"/>
            <w:noWrap w:val="0"/>
            <w:vAlign w:val="center"/>
          </w:tcPr>
          <w:p w14:paraId="7B9EC151">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p>
        </w:tc>
        <w:tc>
          <w:tcPr>
            <w:tcW w:w="1648" w:type="dxa"/>
            <w:vMerge w:val="continue"/>
            <w:noWrap w:val="0"/>
            <w:vAlign w:val="center"/>
          </w:tcPr>
          <w:p w14:paraId="26498E53">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highlight w:val="none"/>
              </w:rPr>
            </w:pPr>
          </w:p>
        </w:tc>
        <w:tc>
          <w:tcPr>
            <w:tcW w:w="1061" w:type="dxa"/>
            <w:shd w:val="clear"/>
            <w:noWrap w:val="0"/>
            <w:vAlign w:val="center"/>
          </w:tcPr>
          <w:p w14:paraId="466064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膜</w:t>
            </w:r>
          </w:p>
        </w:tc>
        <w:tc>
          <w:tcPr>
            <w:tcW w:w="6510" w:type="dxa"/>
            <w:gridSpan w:val="3"/>
            <w:shd w:val="clear"/>
            <w:noWrap w:val="0"/>
            <w:vAlign w:val="center"/>
          </w:tcPr>
          <w:p w14:paraId="404E51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i w:val="0"/>
                <w:color w:val="auto"/>
                <w:kern w:val="0"/>
                <w:sz w:val="24"/>
                <w:szCs w:val="24"/>
                <w:highlight w:val="none"/>
                <w:u w:val="none"/>
                <w:lang w:val="en-US" w:eastAsia="zh-CN" w:bidi="ar"/>
              </w:rPr>
              <w:t>随机抽取同一生产者同一标准生产的同一商标、同一规格型号的产品3卷（每卷膜外层除去至少2m，膜卷宽度应在200mm以上），每卷取不少于7.5m</w:t>
            </w:r>
            <w:r>
              <w:rPr>
                <w:rFonts w:hint="eastAsia" w:ascii="仿宋" w:hAnsi="仿宋" w:eastAsia="仿宋" w:cs="仿宋"/>
                <w:i w:val="0"/>
                <w:color w:val="auto"/>
                <w:kern w:val="0"/>
                <w:sz w:val="24"/>
                <w:szCs w:val="24"/>
                <w:highlight w:val="none"/>
                <w:u w:val="none"/>
                <w:vertAlign w:val="superscript"/>
                <w:lang w:val="en-US" w:eastAsia="zh-CN" w:bidi="ar"/>
              </w:rPr>
              <w:t>2</w:t>
            </w:r>
            <w:r>
              <w:rPr>
                <w:rFonts w:hint="eastAsia" w:ascii="仿宋" w:hAnsi="仿宋" w:eastAsia="仿宋" w:cs="仿宋"/>
                <w:i w:val="0"/>
                <w:color w:val="auto"/>
                <w:kern w:val="0"/>
                <w:sz w:val="24"/>
                <w:szCs w:val="24"/>
                <w:highlight w:val="none"/>
                <w:u w:val="none"/>
                <w:lang w:val="en-US" w:eastAsia="zh-CN" w:bidi="ar"/>
              </w:rPr>
              <w:t>，其中2卷作为检样，1卷作为备样。样品不得折叠，应以管芯卷轴小心卷好后封样。</w:t>
            </w:r>
          </w:p>
        </w:tc>
      </w:tr>
      <w:tr w14:paraId="31C5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4" w:type="dxa"/>
            <w:noWrap w:val="0"/>
            <w:vAlign w:val="center"/>
          </w:tcPr>
          <w:p w14:paraId="1B7FAD5F">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w:t>
            </w:r>
          </w:p>
        </w:tc>
        <w:tc>
          <w:tcPr>
            <w:tcW w:w="2709" w:type="dxa"/>
            <w:gridSpan w:val="2"/>
            <w:noWrap w:val="0"/>
            <w:vAlign w:val="center"/>
          </w:tcPr>
          <w:p w14:paraId="337BA944">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color w:val="auto"/>
                <w:kern w:val="0"/>
                <w:sz w:val="24"/>
                <w:szCs w:val="24"/>
                <w:u w:val="none"/>
                <w:lang w:val="en-US" w:eastAsia="zh-CN" w:bidi="ar"/>
              </w:rPr>
              <w:t>手洗餐具用洗涤剂</w:t>
            </w:r>
          </w:p>
        </w:tc>
        <w:tc>
          <w:tcPr>
            <w:tcW w:w="2265" w:type="dxa"/>
            <w:noWrap w:val="0"/>
            <w:vAlign w:val="center"/>
          </w:tcPr>
          <w:p w14:paraId="141A3CF2">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4个独立包装（总量不少于2L/2kg）</w:t>
            </w:r>
          </w:p>
        </w:tc>
        <w:tc>
          <w:tcPr>
            <w:tcW w:w="2337" w:type="dxa"/>
            <w:noWrap w:val="0"/>
            <w:vAlign w:val="center"/>
          </w:tcPr>
          <w:p w14:paraId="2024744F">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2个独立包装（不少于1L/1kg）</w:t>
            </w:r>
          </w:p>
        </w:tc>
        <w:tc>
          <w:tcPr>
            <w:tcW w:w="1908" w:type="dxa"/>
            <w:noWrap w:val="0"/>
            <w:vAlign w:val="center"/>
          </w:tcPr>
          <w:p w14:paraId="4A2F3643">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2个独立包装（不少于1L/1kg）</w:t>
            </w:r>
          </w:p>
        </w:tc>
      </w:tr>
    </w:tbl>
    <w:p w14:paraId="3F566608">
      <w:pPr>
        <w:snapToGrid w:val="0"/>
        <w:spacing w:line="440" w:lineRule="exact"/>
        <w:rPr>
          <w:rFonts w:hint="eastAsia" w:ascii="仿宋" w:hAnsi="仿宋" w:eastAsia="仿宋" w:cs="仿宋"/>
          <w:sz w:val="24"/>
          <w:szCs w:val="24"/>
        </w:rPr>
      </w:pPr>
      <w:bookmarkStart w:id="0" w:name="OLE_LINK13"/>
      <w:r>
        <w:rPr>
          <w:rFonts w:hint="eastAsia" w:ascii="仿宋" w:hAnsi="仿宋" w:eastAsia="仿宋" w:cs="仿宋"/>
          <w:sz w:val="24"/>
          <w:szCs w:val="24"/>
          <w:lang w:val="en-US" w:eastAsia="zh-CN"/>
        </w:rPr>
        <w:t>烟花爆竹</w:t>
      </w:r>
      <w:r>
        <w:rPr>
          <w:rFonts w:hint="eastAsia" w:ascii="仿宋" w:hAnsi="仿宋" w:eastAsia="仿宋" w:cs="仿宋"/>
          <w:sz w:val="24"/>
          <w:szCs w:val="24"/>
        </w:rPr>
        <w:t>检验样品数量按表</w:t>
      </w:r>
      <w:r>
        <w:rPr>
          <w:rFonts w:hint="eastAsia" w:ascii="仿宋" w:hAnsi="仿宋" w:eastAsia="仿宋" w:cs="仿宋"/>
          <w:sz w:val="24"/>
          <w:szCs w:val="24"/>
          <w:lang w:val="en-US" w:eastAsia="zh-CN"/>
        </w:rPr>
        <w:t>2</w:t>
      </w:r>
      <w:r>
        <w:rPr>
          <w:rFonts w:hint="eastAsia" w:ascii="仿宋" w:hAnsi="仿宋" w:eastAsia="仿宋" w:cs="仿宋"/>
          <w:sz w:val="24"/>
          <w:szCs w:val="24"/>
        </w:rPr>
        <w:t>、表</w:t>
      </w:r>
      <w:r>
        <w:rPr>
          <w:rFonts w:hint="eastAsia" w:ascii="仿宋" w:hAnsi="仿宋" w:eastAsia="仿宋" w:cs="仿宋"/>
          <w:sz w:val="24"/>
          <w:szCs w:val="24"/>
          <w:lang w:val="en-US" w:eastAsia="zh-CN"/>
        </w:rPr>
        <w:t>3</w:t>
      </w:r>
      <w:r>
        <w:rPr>
          <w:rFonts w:hint="eastAsia" w:ascii="仿宋" w:hAnsi="仿宋" w:eastAsia="仿宋" w:cs="仿宋"/>
          <w:sz w:val="24"/>
          <w:szCs w:val="24"/>
        </w:rPr>
        <w:t>和表</w:t>
      </w:r>
      <w:r>
        <w:rPr>
          <w:rFonts w:hint="eastAsia" w:ascii="仿宋" w:hAnsi="仿宋" w:eastAsia="仿宋" w:cs="仿宋"/>
          <w:sz w:val="24"/>
          <w:szCs w:val="24"/>
          <w:lang w:val="en-US" w:eastAsia="zh-CN"/>
        </w:rPr>
        <w:t>4</w:t>
      </w:r>
      <w:r>
        <w:rPr>
          <w:rFonts w:hint="eastAsia" w:ascii="仿宋" w:hAnsi="仿宋" w:eastAsia="仿宋" w:cs="仿宋"/>
          <w:sz w:val="24"/>
          <w:szCs w:val="24"/>
        </w:rPr>
        <w:t>的规定执行，同时抽取同等数量的备用样品。</w:t>
      </w:r>
    </w:p>
    <w:p w14:paraId="087C7FE5">
      <w:pPr>
        <w:snapToGrid w:val="0"/>
        <w:spacing w:line="440" w:lineRule="exact"/>
        <w:jc w:val="center"/>
        <w:rPr>
          <w:rFonts w:hint="eastAsia" w:ascii="仿宋" w:hAnsi="仿宋" w:eastAsia="仿宋" w:cs="仿宋"/>
          <w:sz w:val="24"/>
          <w:szCs w:val="24"/>
        </w:rPr>
      </w:pPr>
      <w:r>
        <w:rPr>
          <w:rFonts w:hint="eastAsia" w:ascii="仿宋" w:hAnsi="仿宋" w:eastAsia="仿宋" w:cs="仿宋"/>
          <w:sz w:val="24"/>
          <w:szCs w:val="24"/>
        </w:rPr>
        <w:t>表</w:t>
      </w:r>
      <w:r>
        <w:rPr>
          <w:rFonts w:hint="eastAsia" w:ascii="仿宋" w:hAnsi="仿宋" w:eastAsia="仿宋" w:cs="仿宋"/>
          <w:sz w:val="24"/>
          <w:szCs w:val="24"/>
          <w:lang w:val="en-US" w:eastAsia="zh-CN"/>
        </w:rPr>
        <w:t>2</w:t>
      </w:r>
      <w:r>
        <w:rPr>
          <w:rFonts w:hint="eastAsia" w:ascii="仿宋" w:hAnsi="仿宋" w:eastAsia="仿宋" w:cs="仿宋"/>
          <w:sz w:val="24"/>
          <w:szCs w:val="24"/>
        </w:rPr>
        <w:t xml:space="preserve"> 结鞭爆竹抽样样本量</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749"/>
        <w:gridCol w:w="1919"/>
        <w:gridCol w:w="2151"/>
        <w:gridCol w:w="1971"/>
      </w:tblGrid>
      <w:tr w14:paraId="442B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restart"/>
            <w:noWrap w:val="0"/>
            <w:vAlign w:val="top"/>
          </w:tcPr>
          <w:p w14:paraId="544427C7">
            <w:pPr>
              <w:jc w:val="center"/>
              <w:rPr>
                <w:rFonts w:hint="eastAsia" w:ascii="仿宋" w:hAnsi="仿宋" w:eastAsia="仿宋" w:cs="仿宋"/>
                <w:sz w:val="24"/>
                <w:szCs w:val="24"/>
              </w:rPr>
            </w:pPr>
            <w:r>
              <w:rPr>
                <w:rFonts w:hint="eastAsia" w:ascii="仿宋" w:hAnsi="仿宋" w:eastAsia="仿宋" w:cs="仿宋"/>
                <w:sz w:val="24"/>
                <w:szCs w:val="24"/>
              </w:rPr>
              <w:t>批量范围</w:t>
            </w:r>
          </w:p>
          <w:p w14:paraId="69D2E1AC">
            <w:pPr>
              <w:jc w:val="center"/>
              <w:rPr>
                <w:rFonts w:hint="eastAsia" w:ascii="仿宋" w:hAnsi="仿宋" w:eastAsia="仿宋" w:cs="仿宋"/>
                <w:sz w:val="24"/>
                <w:szCs w:val="24"/>
              </w:rPr>
            </w:pPr>
            <w:r>
              <w:rPr>
                <w:rFonts w:hint="eastAsia" w:ascii="仿宋" w:hAnsi="仿宋" w:eastAsia="仿宋" w:cs="仿宋"/>
                <w:sz w:val="24"/>
                <w:szCs w:val="24"/>
              </w:rPr>
              <w:t>N（挂、卷）</w:t>
            </w:r>
          </w:p>
        </w:tc>
        <w:tc>
          <w:tcPr>
            <w:tcW w:w="7790" w:type="dxa"/>
            <w:gridSpan w:val="4"/>
            <w:noWrap w:val="0"/>
            <w:vAlign w:val="top"/>
          </w:tcPr>
          <w:p w14:paraId="7A876E1A">
            <w:pPr>
              <w:jc w:val="center"/>
              <w:rPr>
                <w:rFonts w:hint="eastAsia" w:ascii="仿宋" w:hAnsi="仿宋" w:eastAsia="仿宋" w:cs="仿宋"/>
                <w:sz w:val="24"/>
                <w:szCs w:val="24"/>
              </w:rPr>
            </w:pPr>
            <w:r>
              <w:rPr>
                <w:rFonts w:hint="eastAsia" w:ascii="仿宋" w:hAnsi="仿宋" w:eastAsia="仿宋" w:cs="仿宋"/>
                <w:sz w:val="24"/>
                <w:szCs w:val="24"/>
              </w:rPr>
              <w:t>样本量n （挂、卷）</w:t>
            </w:r>
          </w:p>
        </w:tc>
      </w:tr>
      <w:tr w14:paraId="6D3F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continue"/>
            <w:noWrap w:val="0"/>
            <w:vAlign w:val="top"/>
          </w:tcPr>
          <w:p w14:paraId="14654E01">
            <w:pPr>
              <w:jc w:val="center"/>
              <w:rPr>
                <w:rFonts w:hint="eastAsia" w:ascii="仿宋" w:hAnsi="仿宋" w:eastAsia="仿宋" w:cs="仿宋"/>
                <w:sz w:val="24"/>
                <w:szCs w:val="24"/>
              </w:rPr>
            </w:pPr>
          </w:p>
        </w:tc>
        <w:tc>
          <w:tcPr>
            <w:tcW w:w="1749" w:type="dxa"/>
            <w:noWrap w:val="0"/>
            <w:vAlign w:val="top"/>
          </w:tcPr>
          <w:p w14:paraId="78233863">
            <w:pPr>
              <w:jc w:val="center"/>
              <w:rPr>
                <w:rFonts w:hint="eastAsia" w:ascii="仿宋" w:hAnsi="仿宋" w:eastAsia="仿宋" w:cs="仿宋"/>
                <w:sz w:val="24"/>
                <w:szCs w:val="24"/>
              </w:rPr>
            </w:pPr>
            <w:r>
              <w:rPr>
                <w:rFonts w:hint="eastAsia" w:ascii="仿宋" w:hAnsi="仿宋" w:eastAsia="仿宋" w:cs="仿宋"/>
                <w:sz w:val="24"/>
                <w:szCs w:val="24"/>
              </w:rPr>
              <w:t>≤50个/（挂、卷）</w:t>
            </w:r>
          </w:p>
        </w:tc>
        <w:tc>
          <w:tcPr>
            <w:tcW w:w="1919" w:type="dxa"/>
            <w:noWrap w:val="0"/>
            <w:vAlign w:val="top"/>
          </w:tcPr>
          <w:p w14:paraId="33C7B8A1">
            <w:pPr>
              <w:jc w:val="center"/>
              <w:rPr>
                <w:rFonts w:hint="eastAsia" w:ascii="仿宋" w:hAnsi="仿宋" w:eastAsia="仿宋" w:cs="仿宋"/>
                <w:sz w:val="24"/>
                <w:szCs w:val="24"/>
              </w:rPr>
            </w:pPr>
            <w:r>
              <w:rPr>
                <w:rFonts w:hint="eastAsia" w:ascii="仿宋" w:hAnsi="仿宋" w:eastAsia="仿宋" w:cs="仿宋"/>
                <w:sz w:val="24"/>
                <w:szCs w:val="24"/>
              </w:rPr>
              <w:t>51~500个/（挂、卷）</w:t>
            </w:r>
          </w:p>
        </w:tc>
        <w:tc>
          <w:tcPr>
            <w:tcW w:w="2151" w:type="dxa"/>
            <w:noWrap w:val="0"/>
            <w:vAlign w:val="top"/>
          </w:tcPr>
          <w:p w14:paraId="70AFB034">
            <w:pPr>
              <w:jc w:val="center"/>
              <w:rPr>
                <w:rFonts w:hint="eastAsia" w:ascii="仿宋" w:hAnsi="仿宋" w:eastAsia="仿宋" w:cs="仿宋"/>
                <w:sz w:val="24"/>
                <w:szCs w:val="24"/>
              </w:rPr>
            </w:pPr>
            <w:r>
              <w:rPr>
                <w:rFonts w:hint="eastAsia" w:ascii="仿宋" w:hAnsi="仿宋" w:eastAsia="仿宋" w:cs="仿宋"/>
                <w:sz w:val="24"/>
                <w:szCs w:val="24"/>
              </w:rPr>
              <w:t>501~2000个/（挂、卷）</w:t>
            </w:r>
          </w:p>
        </w:tc>
        <w:tc>
          <w:tcPr>
            <w:tcW w:w="1971" w:type="dxa"/>
            <w:noWrap w:val="0"/>
            <w:vAlign w:val="top"/>
          </w:tcPr>
          <w:p w14:paraId="684C4DA9">
            <w:pPr>
              <w:jc w:val="center"/>
              <w:rPr>
                <w:rFonts w:hint="eastAsia" w:ascii="仿宋" w:hAnsi="仿宋" w:eastAsia="仿宋" w:cs="仿宋"/>
                <w:sz w:val="24"/>
                <w:szCs w:val="24"/>
              </w:rPr>
            </w:pPr>
            <w:r>
              <w:rPr>
                <w:rFonts w:hint="eastAsia" w:ascii="仿宋" w:hAnsi="仿宋" w:eastAsia="仿宋" w:cs="仿宋"/>
                <w:sz w:val="24"/>
                <w:szCs w:val="24"/>
              </w:rPr>
              <w:t>＞2000个/（挂、卷）</w:t>
            </w:r>
          </w:p>
        </w:tc>
      </w:tr>
      <w:tr w14:paraId="0B67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4" w:type="dxa"/>
            <w:noWrap w:val="0"/>
            <w:vAlign w:val="top"/>
          </w:tcPr>
          <w:p w14:paraId="084C4068">
            <w:pPr>
              <w:jc w:val="center"/>
              <w:rPr>
                <w:rFonts w:hint="eastAsia" w:ascii="仿宋" w:hAnsi="仿宋" w:eastAsia="仿宋" w:cs="仿宋"/>
                <w:sz w:val="24"/>
                <w:szCs w:val="24"/>
              </w:rPr>
            </w:pPr>
            <w:r>
              <w:rPr>
                <w:rFonts w:hint="eastAsia" w:ascii="仿宋" w:hAnsi="仿宋" w:eastAsia="仿宋" w:cs="仿宋"/>
                <w:sz w:val="24"/>
                <w:szCs w:val="24"/>
              </w:rPr>
              <w:t xml:space="preserve">≤500 </w:t>
            </w:r>
          </w:p>
        </w:tc>
        <w:tc>
          <w:tcPr>
            <w:tcW w:w="1749" w:type="dxa"/>
            <w:noWrap w:val="0"/>
            <w:vAlign w:val="top"/>
          </w:tcPr>
          <w:p w14:paraId="52025C7D">
            <w:pPr>
              <w:jc w:val="center"/>
              <w:rPr>
                <w:rFonts w:hint="eastAsia" w:ascii="仿宋" w:hAnsi="仿宋" w:eastAsia="仿宋" w:cs="仿宋"/>
                <w:sz w:val="24"/>
                <w:szCs w:val="24"/>
              </w:rPr>
            </w:pPr>
            <w:r>
              <w:rPr>
                <w:rFonts w:hint="eastAsia" w:ascii="仿宋" w:hAnsi="仿宋" w:eastAsia="仿宋" w:cs="仿宋"/>
                <w:sz w:val="24"/>
                <w:szCs w:val="24"/>
              </w:rPr>
              <w:t>8</w:t>
            </w:r>
          </w:p>
        </w:tc>
        <w:tc>
          <w:tcPr>
            <w:tcW w:w="1919" w:type="dxa"/>
            <w:noWrap w:val="0"/>
            <w:vAlign w:val="top"/>
          </w:tcPr>
          <w:p w14:paraId="7A7A4F0C">
            <w:pPr>
              <w:jc w:val="center"/>
              <w:rPr>
                <w:rFonts w:hint="eastAsia" w:ascii="仿宋" w:hAnsi="仿宋" w:eastAsia="仿宋" w:cs="仿宋"/>
                <w:sz w:val="24"/>
                <w:szCs w:val="24"/>
              </w:rPr>
            </w:pPr>
            <w:r>
              <w:rPr>
                <w:rFonts w:hint="eastAsia" w:ascii="仿宋" w:hAnsi="仿宋" w:eastAsia="仿宋" w:cs="仿宋"/>
                <w:sz w:val="24"/>
                <w:szCs w:val="24"/>
              </w:rPr>
              <w:t>6</w:t>
            </w:r>
          </w:p>
        </w:tc>
        <w:tc>
          <w:tcPr>
            <w:tcW w:w="2151" w:type="dxa"/>
            <w:noWrap w:val="0"/>
            <w:vAlign w:val="top"/>
          </w:tcPr>
          <w:p w14:paraId="4DE6CB5D">
            <w:pPr>
              <w:jc w:val="center"/>
              <w:rPr>
                <w:rFonts w:hint="eastAsia" w:ascii="仿宋" w:hAnsi="仿宋" w:eastAsia="仿宋" w:cs="仿宋"/>
                <w:sz w:val="24"/>
                <w:szCs w:val="24"/>
              </w:rPr>
            </w:pPr>
            <w:r>
              <w:rPr>
                <w:rFonts w:hint="eastAsia" w:ascii="仿宋" w:hAnsi="仿宋" w:eastAsia="仿宋" w:cs="仿宋"/>
                <w:sz w:val="24"/>
                <w:szCs w:val="24"/>
              </w:rPr>
              <w:t>5</w:t>
            </w:r>
          </w:p>
        </w:tc>
        <w:tc>
          <w:tcPr>
            <w:tcW w:w="1971" w:type="dxa"/>
            <w:noWrap w:val="0"/>
            <w:vAlign w:val="top"/>
          </w:tcPr>
          <w:p w14:paraId="1CF29BDB">
            <w:pPr>
              <w:jc w:val="center"/>
              <w:rPr>
                <w:rFonts w:hint="eastAsia" w:ascii="仿宋" w:hAnsi="仿宋" w:eastAsia="仿宋" w:cs="仿宋"/>
                <w:sz w:val="24"/>
                <w:szCs w:val="24"/>
              </w:rPr>
            </w:pPr>
            <w:r>
              <w:rPr>
                <w:rFonts w:hint="eastAsia" w:ascii="仿宋" w:hAnsi="仿宋" w:eastAsia="仿宋" w:cs="仿宋"/>
                <w:sz w:val="24"/>
                <w:szCs w:val="24"/>
              </w:rPr>
              <w:t>4</w:t>
            </w:r>
          </w:p>
        </w:tc>
      </w:tr>
      <w:tr w14:paraId="0380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49C8DC4E">
            <w:pPr>
              <w:jc w:val="center"/>
              <w:rPr>
                <w:rFonts w:hint="eastAsia" w:ascii="仿宋" w:hAnsi="仿宋" w:eastAsia="仿宋" w:cs="仿宋"/>
                <w:sz w:val="24"/>
                <w:szCs w:val="24"/>
              </w:rPr>
            </w:pPr>
            <w:r>
              <w:rPr>
                <w:rFonts w:hint="eastAsia" w:ascii="仿宋" w:hAnsi="仿宋" w:eastAsia="仿宋" w:cs="仿宋"/>
                <w:sz w:val="24"/>
                <w:szCs w:val="24"/>
              </w:rPr>
              <w:t>501~2000</w:t>
            </w:r>
          </w:p>
        </w:tc>
        <w:tc>
          <w:tcPr>
            <w:tcW w:w="1749" w:type="dxa"/>
            <w:noWrap w:val="0"/>
            <w:vAlign w:val="top"/>
          </w:tcPr>
          <w:p w14:paraId="27BEBB62">
            <w:pPr>
              <w:jc w:val="center"/>
              <w:rPr>
                <w:rFonts w:hint="eastAsia" w:ascii="仿宋" w:hAnsi="仿宋" w:eastAsia="仿宋" w:cs="仿宋"/>
                <w:sz w:val="24"/>
                <w:szCs w:val="24"/>
              </w:rPr>
            </w:pPr>
            <w:r>
              <w:rPr>
                <w:rFonts w:hint="eastAsia" w:ascii="仿宋" w:hAnsi="仿宋" w:eastAsia="仿宋" w:cs="仿宋"/>
                <w:sz w:val="24"/>
                <w:szCs w:val="24"/>
              </w:rPr>
              <w:t>10</w:t>
            </w:r>
          </w:p>
        </w:tc>
        <w:tc>
          <w:tcPr>
            <w:tcW w:w="1919" w:type="dxa"/>
            <w:noWrap w:val="0"/>
            <w:vAlign w:val="top"/>
          </w:tcPr>
          <w:p w14:paraId="4F520EE9">
            <w:pPr>
              <w:jc w:val="center"/>
              <w:rPr>
                <w:rFonts w:hint="eastAsia" w:ascii="仿宋" w:hAnsi="仿宋" w:eastAsia="仿宋" w:cs="仿宋"/>
                <w:sz w:val="24"/>
                <w:szCs w:val="24"/>
              </w:rPr>
            </w:pPr>
            <w:r>
              <w:rPr>
                <w:rFonts w:hint="eastAsia" w:ascii="仿宋" w:hAnsi="仿宋" w:eastAsia="仿宋" w:cs="仿宋"/>
                <w:sz w:val="24"/>
                <w:szCs w:val="24"/>
              </w:rPr>
              <w:t>8</w:t>
            </w:r>
          </w:p>
        </w:tc>
        <w:tc>
          <w:tcPr>
            <w:tcW w:w="2151" w:type="dxa"/>
            <w:noWrap w:val="0"/>
            <w:vAlign w:val="top"/>
          </w:tcPr>
          <w:p w14:paraId="07BF0B4B">
            <w:pPr>
              <w:jc w:val="center"/>
              <w:rPr>
                <w:rFonts w:hint="eastAsia" w:ascii="仿宋" w:hAnsi="仿宋" w:eastAsia="仿宋" w:cs="仿宋"/>
                <w:sz w:val="24"/>
                <w:szCs w:val="24"/>
              </w:rPr>
            </w:pPr>
            <w:r>
              <w:rPr>
                <w:rFonts w:hint="eastAsia" w:ascii="仿宋" w:hAnsi="仿宋" w:eastAsia="仿宋" w:cs="仿宋"/>
                <w:sz w:val="24"/>
                <w:szCs w:val="24"/>
              </w:rPr>
              <w:t>6</w:t>
            </w:r>
          </w:p>
        </w:tc>
        <w:tc>
          <w:tcPr>
            <w:tcW w:w="1971" w:type="dxa"/>
            <w:noWrap w:val="0"/>
            <w:vAlign w:val="top"/>
          </w:tcPr>
          <w:p w14:paraId="5F0307E2">
            <w:pPr>
              <w:jc w:val="center"/>
              <w:rPr>
                <w:rFonts w:hint="eastAsia" w:ascii="仿宋" w:hAnsi="仿宋" w:eastAsia="仿宋" w:cs="仿宋"/>
                <w:sz w:val="24"/>
                <w:szCs w:val="24"/>
              </w:rPr>
            </w:pPr>
            <w:r>
              <w:rPr>
                <w:rFonts w:hint="eastAsia" w:ascii="仿宋" w:hAnsi="仿宋" w:eastAsia="仿宋" w:cs="仿宋"/>
                <w:sz w:val="24"/>
                <w:szCs w:val="24"/>
              </w:rPr>
              <w:t>4</w:t>
            </w:r>
          </w:p>
        </w:tc>
      </w:tr>
      <w:tr w14:paraId="4D60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4264B9B3">
            <w:pPr>
              <w:ind w:firstLine="120" w:firstLineChars="50"/>
              <w:rPr>
                <w:rFonts w:hint="eastAsia" w:ascii="仿宋" w:hAnsi="仿宋" w:eastAsia="仿宋" w:cs="仿宋"/>
                <w:sz w:val="24"/>
                <w:szCs w:val="24"/>
              </w:rPr>
            </w:pPr>
            <w:r>
              <w:rPr>
                <w:rFonts w:hint="eastAsia" w:ascii="仿宋" w:hAnsi="仿宋" w:eastAsia="仿宋" w:cs="仿宋"/>
                <w:sz w:val="24"/>
                <w:szCs w:val="24"/>
              </w:rPr>
              <w:t>2001~5000</w:t>
            </w:r>
          </w:p>
        </w:tc>
        <w:tc>
          <w:tcPr>
            <w:tcW w:w="1749" w:type="dxa"/>
            <w:noWrap w:val="0"/>
            <w:vAlign w:val="top"/>
          </w:tcPr>
          <w:p w14:paraId="0B933DEA">
            <w:pPr>
              <w:jc w:val="center"/>
              <w:rPr>
                <w:rFonts w:hint="eastAsia" w:ascii="仿宋" w:hAnsi="仿宋" w:eastAsia="仿宋" w:cs="仿宋"/>
                <w:sz w:val="24"/>
                <w:szCs w:val="24"/>
              </w:rPr>
            </w:pPr>
            <w:r>
              <w:rPr>
                <w:rFonts w:hint="eastAsia" w:ascii="仿宋" w:hAnsi="仿宋" w:eastAsia="仿宋" w:cs="仿宋"/>
                <w:sz w:val="24"/>
                <w:szCs w:val="24"/>
              </w:rPr>
              <w:t>13</w:t>
            </w:r>
          </w:p>
        </w:tc>
        <w:tc>
          <w:tcPr>
            <w:tcW w:w="1919" w:type="dxa"/>
            <w:noWrap w:val="0"/>
            <w:vAlign w:val="top"/>
          </w:tcPr>
          <w:p w14:paraId="5B6C65A2">
            <w:pPr>
              <w:jc w:val="center"/>
              <w:rPr>
                <w:rFonts w:hint="eastAsia" w:ascii="仿宋" w:hAnsi="仿宋" w:eastAsia="仿宋" w:cs="仿宋"/>
                <w:sz w:val="24"/>
                <w:szCs w:val="24"/>
              </w:rPr>
            </w:pPr>
            <w:r>
              <w:rPr>
                <w:rFonts w:hint="eastAsia" w:ascii="仿宋" w:hAnsi="仿宋" w:eastAsia="仿宋" w:cs="仿宋"/>
                <w:sz w:val="24"/>
                <w:szCs w:val="24"/>
              </w:rPr>
              <w:t>10</w:t>
            </w:r>
          </w:p>
        </w:tc>
        <w:tc>
          <w:tcPr>
            <w:tcW w:w="2151" w:type="dxa"/>
            <w:noWrap w:val="0"/>
            <w:vAlign w:val="top"/>
          </w:tcPr>
          <w:p w14:paraId="2DF60C6F">
            <w:pPr>
              <w:jc w:val="center"/>
              <w:rPr>
                <w:rFonts w:hint="eastAsia" w:ascii="仿宋" w:hAnsi="仿宋" w:eastAsia="仿宋" w:cs="仿宋"/>
                <w:sz w:val="24"/>
                <w:szCs w:val="24"/>
              </w:rPr>
            </w:pPr>
            <w:r>
              <w:rPr>
                <w:rFonts w:hint="eastAsia" w:ascii="仿宋" w:hAnsi="仿宋" w:eastAsia="仿宋" w:cs="仿宋"/>
                <w:sz w:val="24"/>
                <w:szCs w:val="24"/>
              </w:rPr>
              <w:t>8</w:t>
            </w:r>
          </w:p>
        </w:tc>
        <w:tc>
          <w:tcPr>
            <w:tcW w:w="1971" w:type="dxa"/>
            <w:noWrap w:val="0"/>
            <w:vAlign w:val="top"/>
          </w:tcPr>
          <w:p w14:paraId="5AFC5F03">
            <w:pPr>
              <w:jc w:val="center"/>
              <w:rPr>
                <w:rFonts w:hint="eastAsia" w:ascii="仿宋" w:hAnsi="仿宋" w:eastAsia="仿宋" w:cs="仿宋"/>
                <w:sz w:val="24"/>
                <w:szCs w:val="24"/>
              </w:rPr>
            </w:pPr>
            <w:r>
              <w:rPr>
                <w:rFonts w:hint="eastAsia" w:ascii="仿宋" w:hAnsi="仿宋" w:eastAsia="仿宋" w:cs="仿宋"/>
                <w:sz w:val="24"/>
                <w:szCs w:val="24"/>
              </w:rPr>
              <w:t>5</w:t>
            </w:r>
          </w:p>
        </w:tc>
      </w:tr>
      <w:tr w14:paraId="7E9B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noWrap w:val="0"/>
            <w:vAlign w:val="top"/>
          </w:tcPr>
          <w:p w14:paraId="7B200059">
            <w:pPr>
              <w:jc w:val="center"/>
              <w:rPr>
                <w:rFonts w:hint="eastAsia" w:ascii="仿宋" w:hAnsi="仿宋" w:eastAsia="仿宋" w:cs="仿宋"/>
                <w:sz w:val="24"/>
                <w:szCs w:val="24"/>
              </w:rPr>
            </w:pPr>
            <w:r>
              <w:rPr>
                <w:rFonts w:hint="eastAsia" w:ascii="仿宋" w:hAnsi="仿宋" w:eastAsia="仿宋" w:cs="仿宋"/>
                <w:sz w:val="24"/>
                <w:szCs w:val="24"/>
              </w:rPr>
              <w:t>≥5001</w:t>
            </w:r>
          </w:p>
        </w:tc>
        <w:tc>
          <w:tcPr>
            <w:tcW w:w="1749" w:type="dxa"/>
            <w:noWrap w:val="0"/>
            <w:vAlign w:val="top"/>
          </w:tcPr>
          <w:p w14:paraId="53F859A6">
            <w:pPr>
              <w:jc w:val="center"/>
              <w:rPr>
                <w:rFonts w:hint="eastAsia" w:ascii="仿宋" w:hAnsi="仿宋" w:eastAsia="仿宋" w:cs="仿宋"/>
                <w:sz w:val="24"/>
                <w:szCs w:val="24"/>
              </w:rPr>
            </w:pPr>
            <w:r>
              <w:rPr>
                <w:rFonts w:hint="eastAsia" w:ascii="仿宋" w:hAnsi="仿宋" w:eastAsia="仿宋" w:cs="仿宋"/>
                <w:sz w:val="24"/>
                <w:szCs w:val="24"/>
              </w:rPr>
              <w:t>13</w:t>
            </w:r>
          </w:p>
        </w:tc>
        <w:tc>
          <w:tcPr>
            <w:tcW w:w="1919" w:type="dxa"/>
            <w:noWrap w:val="0"/>
            <w:vAlign w:val="top"/>
          </w:tcPr>
          <w:p w14:paraId="22D0FBD0">
            <w:pPr>
              <w:jc w:val="center"/>
              <w:rPr>
                <w:rFonts w:hint="eastAsia" w:ascii="仿宋" w:hAnsi="仿宋" w:eastAsia="仿宋" w:cs="仿宋"/>
                <w:sz w:val="24"/>
                <w:szCs w:val="24"/>
              </w:rPr>
            </w:pPr>
            <w:r>
              <w:rPr>
                <w:rFonts w:hint="eastAsia" w:ascii="仿宋" w:hAnsi="仿宋" w:eastAsia="仿宋" w:cs="仿宋"/>
                <w:sz w:val="24"/>
                <w:szCs w:val="24"/>
              </w:rPr>
              <w:t>12</w:t>
            </w:r>
          </w:p>
        </w:tc>
        <w:tc>
          <w:tcPr>
            <w:tcW w:w="2151" w:type="dxa"/>
            <w:noWrap w:val="0"/>
            <w:vAlign w:val="top"/>
          </w:tcPr>
          <w:p w14:paraId="2DB4F11C">
            <w:pPr>
              <w:jc w:val="center"/>
              <w:rPr>
                <w:rFonts w:hint="eastAsia" w:ascii="仿宋" w:hAnsi="仿宋" w:eastAsia="仿宋" w:cs="仿宋"/>
                <w:sz w:val="24"/>
                <w:szCs w:val="24"/>
              </w:rPr>
            </w:pPr>
            <w:r>
              <w:rPr>
                <w:rFonts w:hint="eastAsia" w:ascii="仿宋" w:hAnsi="仿宋" w:eastAsia="仿宋" w:cs="仿宋"/>
                <w:sz w:val="24"/>
                <w:szCs w:val="24"/>
              </w:rPr>
              <w:t>10</w:t>
            </w:r>
          </w:p>
        </w:tc>
        <w:tc>
          <w:tcPr>
            <w:tcW w:w="1971" w:type="dxa"/>
            <w:noWrap w:val="0"/>
            <w:vAlign w:val="top"/>
          </w:tcPr>
          <w:p w14:paraId="29DA5F81">
            <w:pPr>
              <w:jc w:val="center"/>
              <w:rPr>
                <w:rFonts w:hint="eastAsia" w:ascii="仿宋" w:hAnsi="仿宋" w:eastAsia="仿宋" w:cs="仿宋"/>
                <w:sz w:val="24"/>
                <w:szCs w:val="24"/>
              </w:rPr>
            </w:pPr>
            <w:r>
              <w:rPr>
                <w:rFonts w:hint="eastAsia" w:ascii="仿宋" w:hAnsi="仿宋" w:eastAsia="仿宋" w:cs="仿宋"/>
                <w:sz w:val="24"/>
                <w:szCs w:val="24"/>
              </w:rPr>
              <w:t>6</w:t>
            </w:r>
          </w:p>
        </w:tc>
      </w:tr>
      <w:tr w14:paraId="53A3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5"/>
            <w:noWrap w:val="0"/>
            <w:vAlign w:val="top"/>
          </w:tcPr>
          <w:p w14:paraId="0F7FBFC8">
            <w:pPr>
              <w:jc w:val="left"/>
              <w:rPr>
                <w:rFonts w:hint="eastAsia" w:ascii="仿宋" w:hAnsi="仿宋" w:eastAsia="仿宋" w:cs="仿宋"/>
                <w:sz w:val="24"/>
                <w:szCs w:val="24"/>
              </w:rPr>
            </w:pPr>
            <w:bookmarkStart w:id="1" w:name="OLE_LINK4"/>
            <w:r>
              <w:rPr>
                <w:rFonts w:hint="eastAsia" w:ascii="仿宋" w:hAnsi="仿宋" w:eastAsia="仿宋" w:cs="仿宋"/>
                <w:sz w:val="24"/>
                <w:szCs w:val="24"/>
              </w:rPr>
              <w:t>注：成箱产品中抽取样本，根据所抽样品种类，按表中规定的样本量数的50 %以上（进位取整）确定开箱检查数，再在随机抽取的箱中随机抽取至少1个样品组成所需样本量。</w:t>
            </w:r>
            <w:bookmarkEnd w:id="1"/>
          </w:p>
        </w:tc>
      </w:tr>
    </w:tbl>
    <w:p w14:paraId="6AA0404E">
      <w:pPr>
        <w:snapToGrid w:val="0"/>
        <w:spacing w:line="440" w:lineRule="exact"/>
        <w:jc w:val="center"/>
        <w:rPr>
          <w:rFonts w:hint="eastAsia" w:ascii="仿宋" w:hAnsi="仿宋" w:eastAsia="仿宋" w:cs="仿宋"/>
          <w:sz w:val="24"/>
          <w:szCs w:val="24"/>
        </w:rPr>
      </w:pPr>
      <w:r>
        <w:rPr>
          <w:rFonts w:hint="eastAsia" w:ascii="仿宋" w:hAnsi="仿宋" w:eastAsia="仿宋" w:cs="仿宋"/>
          <w:sz w:val="24"/>
          <w:szCs w:val="24"/>
        </w:rPr>
        <w:t>表</w:t>
      </w:r>
      <w:r>
        <w:rPr>
          <w:rFonts w:hint="eastAsia" w:ascii="仿宋" w:hAnsi="仿宋" w:eastAsia="仿宋" w:cs="仿宋"/>
          <w:sz w:val="24"/>
          <w:szCs w:val="24"/>
          <w:lang w:val="en-US" w:eastAsia="zh-CN"/>
        </w:rPr>
        <w:t>3</w:t>
      </w:r>
      <w:r>
        <w:rPr>
          <w:rFonts w:hint="eastAsia" w:ascii="仿宋" w:hAnsi="仿宋" w:eastAsia="仿宋" w:cs="仿宋"/>
          <w:sz w:val="24"/>
          <w:szCs w:val="24"/>
        </w:rPr>
        <w:t xml:space="preserve"> 组合烟花抽样样本量</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259"/>
        <w:gridCol w:w="1240"/>
        <w:gridCol w:w="1300"/>
        <w:gridCol w:w="1295"/>
        <w:gridCol w:w="1246"/>
        <w:gridCol w:w="1127"/>
      </w:tblGrid>
      <w:tr w14:paraId="5984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restart"/>
            <w:noWrap w:val="0"/>
            <w:vAlign w:val="center"/>
          </w:tcPr>
          <w:p w14:paraId="7172B5A6">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批量范围</w:t>
            </w:r>
          </w:p>
          <w:p w14:paraId="7C210C7E">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N（个）</w:t>
            </w:r>
          </w:p>
        </w:tc>
        <w:tc>
          <w:tcPr>
            <w:tcW w:w="7467" w:type="dxa"/>
            <w:gridSpan w:val="6"/>
            <w:noWrap w:val="0"/>
            <w:vAlign w:val="center"/>
          </w:tcPr>
          <w:p w14:paraId="11AB8C27">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样本量 n /个</w:t>
            </w:r>
          </w:p>
        </w:tc>
      </w:tr>
      <w:tr w14:paraId="4943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14:paraId="5ACB382B">
            <w:pPr>
              <w:pStyle w:val="59"/>
              <w:ind w:firstLine="420"/>
              <w:jc w:val="center"/>
              <w:rPr>
                <w:rFonts w:hint="eastAsia" w:ascii="仿宋" w:hAnsi="仿宋" w:eastAsia="仿宋" w:cs="仿宋"/>
                <w:sz w:val="24"/>
                <w:szCs w:val="24"/>
              </w:rPr>
            </w:pPr>
          </w:p>
        </w:tc>
        <w:tc>
          <w:tcPr>
            <w:tcW w:w="7467" w:type="dxa"/>
            <w:gridSpan w:val="6"/>
            <w:noWrap w:val="0"/>
            <w:vAlign w:val="center"/>
          </w:tcPr>
          <w:p w14:paraId="5D39FB32">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单个样品组合发数（发/个）</w:t>
            </w:r>
          </w:p>
        </w:tc>
      </w:tr>
      <w:tr w14:paraId="7AF2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14:paraId="691C9D3E">
            <w:pPr>
              <w:pStyle w:val="59"/>
              <w:ind w:firstLine="420"/>
              <w:jc w:val="center"/>
              <w:rPr>
                <w:rFonts w:hint="eastAsia" w:ascii="仿宋" w:hAnsi="仿宋" w:eastAsia="仿宋" w:cs="仿宋"/>
                <w:sz w:val="24"/>
                <w:szCs w:val="24"/>
              </w:rPr>
            </w:pPr>
          </w:p>
        </w:tc>
        <w:tc>
          <w:tcPr>
            <w:tcW w:w="2499" w:type="dxa"/>
            <w:gridSpan w:val="2"/>
            <w:noWrap w:val="0"/>
            <w:vAlign w:val="center"/>
          </w:tcPr>
          <w:p w14:paraId="6573A6DD">
            <w:pPr>
              <w:pStyle w:val="59"/>
              <w:ind w:firstLine="0" w:firstLineChars="0"/>
              <w:jc w:val="center"/>
              <w:rPr>
                <w:rFonts w:hint="eastAsia" w:ascii="仿宋" w:hAnsi="仿宋" w:eastAsia="仿宋" w:cs="仿宋"/>
                <w:kern w:val="2"/>
                <w:sz w:val="24"/>
                <w:szCs w:val="24"/>
              </w:rPr>
            </w:pPr>
            <w:bookmarkStart w:id="2" w:name="OLE_LINK6"/>
            <w:bookmarkStart w:id="3" w:name="OLE_LINK5"/>
            <w:r>
              <w:rPr>
                <w:rFonts w:hint="eastAsia" w:ascii="仿宋" w:hAnsi="仿宋" w:eastAsia="仿宋" w:cs="仿宋"/>
                <w:kern w:val="2"/>
                <w:sz w:val="24"/>
                <w:szCs w:val="24"/>
              </w:rPr>
              <w:t>≤</w:t>
            </w:r>
            <w:bookmarkEnd w:id="2"/>
            <w:bookmarkEnd w:id="3"/>
            <w:r>
              <w:rPr>
                <w:rFonts w:hint="eastAsia" w:ascii="仿宋" w:hAnsi="仿宋" w:eastAsia="仿宋" w:cs="仿宋"/>
                <w:kern w:val="2"/>
                <w:sz w:val="24"/>
                <w:szCs w:val="24"/>
              </w:rPr>
              <w:t xml:space="preserve">20 </w:t>
            </w:r>
          </w:p>
        </w:tc>
        <w:tc>
          <w:tcPr>
            <w:tcW w:w="2595" w:type="dxa"/>
            <w:gridSpan w:val="2"/>
            <w:noWrap w:val="0"/>
            <w:vAlign w:val="center"/>
          </w:tcPr>
          <w:p w14:paraId="1D6ED37F">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21～50</w:t>
            </w:r>
          </w:p>
        </w:tc>
        <w:tc>
          <w:tcPr>
            <w:tcW w:w="2373" w:type="dxa"/>
            <w:gridSpan w:val="2"/>
            <w:noWrap w:val="0"/>
            <w:vAlign w:val="center"/>
          </w:tcPr>
          <w:p w14:paraId="740EB7B7">
            <w:pPr>
              <w:pStyle w:val="59"/>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＞50</w:t>
            </w:r>
          </w:p>
        </w:tc>
      </w:tr>
      <w:tr w14:paraId="18A9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14:paraId="66115974">
            <w:pPr>
              <w:pStyle w:val="59"/>
              <w:ind w:firstLine="420"/>
              <w:jc w:val="center"/>
              <w:rPr>
                <w:rFonts w:hint="eastAsia" w:ascii="仿宋" w:hAnsi="仿宋" w:eastAsia="仿宋" w:cs="仿宋"/>
                <w:sz w:val="24"/>
                <w:szCs w:val="24"/>
              </w:rPr>
            </w:pPr>
          </w:p>
        </w:tc>
        <w:tc>
          <w:tcPr>
            <w:tcW w:w="7467" w:type="dxa"/>
            <w:gridSpan w:val="6"/>
            <w:noWrap w:val="0"/>
            <w:vAlign w:val="center"/>
          </w:tcPr>
          <w:p w14:paraId="4C3771E2">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单筒内径/mm</w:t>
            </w:r>
          </w:p>
        </w:tc>
      </w:tr>
      <w:tr w14:paraId="7ABF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vMerge w:val="continue"/>
            <w:noWrap w:val="0"/>
            <w:vAlign w:val="center"/>
          </w:tcPr>
          <w:p w14:paraId="2D834DAC">
            <w:pPr>
              <w:pStyle w:val="59"/>
              <w:ind w:firstLine="420"/>
              <w:jc w:val="center"/>
              <w:rPr>
                <w:rFonts w:hint="eastAsia" w:ascii="仿宋" w:hAnsi="仿宋" w:eastAsia="仿宋" w:cs="仿宋"/>
                <w:sz w:val="24"/>
                <w:szCs w:val="24"/>
              </w:rPr>
            </w:pPr>
          </w:p>
        </w:tc>
        <w:tc>
          <w:tcPr>
            <w:tcW w:w="1259" w:type="dxa"/>
            <w:noWrap w:val="0"/>
            <w:vAlign w:val="center"/>
          </w:tcPr>
          <w:p w14:paraId="4FA2AF27">
            <w:pPr>
              <w:pStyle w:val="59"/>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＞30</w:t>
            </w:r>
          </w:p>
        </w:tc>
        <w:tc>
          <w:tcPr>
            <w:tcW w:w="1240" w:type="dxa"/>
            <w:noWrap w:val="0"/>
            <w:vAlign w:val="center"/>
          </w:tcPr>
          <w:p w14:paraId="2E6F0A73">
            <w:pPr>
              <w:pStyle w:val="59"/>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≤30</w:t>
            </w:r>
          </w:p>
        </w:tc>
        <w:tc>
          <w:tcPr>
            <w:tcW w:w="1300" w:type="dxa"/>
            <w:noWrap w:val="0"/>
            <w:vAlign w:val="center"/>
          </w:tcPr>
          <w:p w14:paraId="1D249653">
            <w:pPr>
              <w:pStyle w:val="59"/>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＞30</w:t>
            </w:r>
          </w:p>
        </w:tc>
        <w:tc>
          <w:tcPr>
            <w:tcW w:w="1295" w:type="dxa"/>
            <w:noWrap w:val="0"/>
            <w:vAlign w:val="center"/>
          </w:tcPr>
          <w:p w14:paraId="76A9499F">
            <w:pPr>
              <w:pStyle w:val="59"/>
              <w:ind w:firstLine="0" w:firstLineChars="0"/>
              <w:jc w:val="center"/>
              <w:rPr>
                <w:rFonts w:hint="eastAsia" w:ascii="仿宋" w:hAnsi="仿宋" w:eastAsia="仿宋" w:cs="仿宋"/>
                <w:sz w:val="24"/>
                <w:szCs w:val="24"/>
              </w:rPr>
            </w:pPr>
            <w:r>
              <w:rPr>
                <w:rFonts w:hint="eastAsia" w:ascii="仿宋" w:hAnsi="仿宋" w:eastAsia="仿宋" w:cs="仿宋"/>
                <w:kern w:val="2"/>
                <w:sz w:val="24"/>
                <w:szCs w:val="24"/>
              </w:rPr>
              <w:t>≤</w:t>
            </w:r>
            <w:r>
              <w:rPr>
                <w:rFonts w:hint="eastAsia" w:ascii="仿宋" w:hAnsi="仿宋" w:eastAsia="仿宋" w:cs="仿宋"/>
                <w:sz w:val="24"/>
                <w:szCs w:val="24"/>
              </w:rPr>
              <w:t>30</w:t>
            </w:r>
          </w:p>
        </w:tc>
        <w:tc>
          <w:tcPr>
            <w:tcW w:w="1246" w:type="dxa"/>
            <w:noWrap w:val="0"/>
            <w:vAlign w:val="center"/>
          </w:tcPr>
          <w:p w14:paraId="6202A7EE">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＞30</w:t>
            </w:r>
          </w:p>
        </w:tc>
        <w:tc>
          <w:tcPr>
            <w:tcW w:w="1127" w:type="dxa"/>
            <w:noWrap w:val="0"/>
            <w:vAlign w:val="center"/>
          </w:tcPr>
          <w:p w14:paraId="2FE9C5F1">
            <w:pPr>
              <w:pStyle w:val="59"/>
              <w:ind w:firstLine="0" w:firstLineChars="0"/>
              <w:jc w:val="center"/>
              <w:rPr>
                <w:rFonts w:hint="eastAsia" w:ascii="仿宋" w:hAnsi="仿宋" w:eastAsia="仿宋" w:cs="仿宋"/>
                <w:kern w:val="2"/>
                <w:sz w:val="24"/>
                <w:szCs w:val="24"/>
              </w:rPr>
            </w:pPr>
            <w:r>
              <w:rPr>
                <w:rFonts w:hint="eastAsia" w:ascii="仿宋" w:hAnsi="仿宋" w:eastAsia="仿宋" w:cs="仿宋"/>
                <w:kern w:val="2"/>
                <w:sz w:val="24"/>
                <w:szCs w:val="24"/>
              </w:rPr>
              <w:t>≤30</w:t>
            </w:r>
          </w:p>
        </w:tc>
      </w:tr>
      <w:tr w14:paraId="63C6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14:paraId="442CCD32">
            <w:pPr>
              <w:pStyle w:val="59"/>
              <w:ind w:firstLine="0" w:firstLineChars="0"/>
              <w:jc w:val="center"/>
              <w:rPr>
                <w:rFonts w:hint="eastAsia" w:ascii="仿宋" w:hAnsi="仿宋" w:eastAsia="仿宋" w:cs="仿宋"/>
                <w:sz w:val="24"/>
                <w:szCs w:val="24"/>
              </w:rPr>
            </w:pPr>
            <w:bookmarkStart w:id="4" w:name="OLE_LINK9"/>
            <w:bookmarkStart w:id="5" w:name="OLE_LINK10"/>
            <w:r>
              <w:rPr>
                <w:rFonts w:hint="eastAsia" w:ascii="仿宋" w:hAnsi="仿宋" w:eastAsia="仿宋" w:cs="仿宋"/>
                <w:sz w:val="24"/>
                <w:szCs w:val="24"/>
              </w:rPr>
              <w:t>≤</w:t>
            </w:r>
            <w:bookmarkEnd w:id="4"/>
            <w:bookmarkEnd w:id="5"/>
            <w:r>
              <w:rPr>
                <w:rFonts w:hint="eastAsia" w:ascii="仿宋" w:hAnsi="仿宋" w:eastAsia="仿宋" w:cs="仿宋"/>
                <w:sz w:val="24"/>
                <w:szCs w:val="24"/>
              </w:rPr>
              <w:t>500</w:t>
            </w:r>
          </w:p>
        </w:tc>
        <w:tc>
          <w:tcPr>
            <w:tcW w:w="1259" w:type="dxa"/>
            <w:noWrap w:val="0"/>
            <w:vAlign w:val="center"/>
          </w:tcPr>
          <w:p w14:paraId="64C5F806">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240" w:type="dxa"/>
            <w:noWrap w:val="0"/>
            <w:vAlign w:val="center"/>
          </w:tcPr>
          <w:p w14:paraId="4F205A20">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300" w:type="dxa"/>
            <w:noWrap w:val="0"/>
            <w:vAlign w:val="center"/>
          </w:tcPr>
          <w:p w14:paraId="70CCC39D">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4</w:t>
            </w:r>
          </w:p>
        </w:tc>
        <w:tc>
          <w:tcPr>
            <w:tcW w:w="1295" w:type="dxa"/>
            <w:noWrap w:val="0"/>
            <w:vAlign w:val="center"/>
          </w:tcPr>
          <w:p w14:paraId="1FDA7AD0">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246" w:type="dxa"/>
            <w:noWrap w:val="0"/>
            <w:vAlign w:val="center"/>
          </w:tcPr>
          <w:p w14:paraId="0EE8AB94">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4</w:t>
            </w:r>
          </w:p>
        </w:tc>
        <w:tc>
          <w:tcPr>
            <w:tcW w:w="1127" w:type="dxa"/>
            <w:noWrap w:val="0"/>
            <w:vAlign w:val="center"/>
          </w:tcPr>
          <w:p w14:paraId="753D5002">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4</w:t>
            </w:r>
          </w:p>
        </w:tc>
      </w:tr>
      <w:tr w14:paraId="098E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14:paraId="21E53F88">
            <w:pPr>
              <w:pStyle w:val="59"/>
              <w:ind w:firstLine="0" w:firstLineChars="0"/>
              <w:jc w:val="center"/>
              <w:rPr>
                <w:rFonts w:hint="eastAsia" w:ascii="仿宋" w:hAnsi="仿宋" w:eastAsia="仿宋" w:cs="仿宋"/>
                <w:sz w:val="24"/>
                <w:szCs w:val="24"/>
              </w:rPr>
            </w:pPr>
            <w:bookmarkStart w:id="6" w:name="OLE_LINK2"/>
            <w:r>
              <w:rPr>
                <w:rFonts w:hint="eastAsia" w:ascii="仿宋" w:hAnsi="仿宋" w:eastAsia="仿宋" w:cs="仿宋"/>
                <w:sz w:val="24"/>
                <w:szCs w:val="24"/>
              </w:rPr>
              <w:t>501~2000</w:t>
            </w:r>
            <w:bookmarkEnd w:id="6"/>
          </w:p>
        </w:tc>
        <w:tc>
          <w:tcPr>
            <w:tcW w:w="1259" w:type="dxa"/>
            <w:noWrap w:val="0"/>
            <w:vAlign w:val="center"/>
          </w:tcPr>
          <w:p w14:paraId="1AE90E57">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240" w:type="dxa"/>
            <w:noWrap w:val="0"/>
            <w:vAlign w:val="center"/>
          </w:tcPr>
          <w:p w14:paraId="6E2282D5">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7</w:t>
            </w:r>
          </w:p>
        </w:tc>
        <w:tc>
          <w:tcPr>
            <w:tcW w:w="1300" w:type="dxa"/>
            <w:noWrap w:val="0"/>
            <w:vAlign w:val="center"/>
          </w:tcPr>
          <w:p w14:paraId="2D838DC2">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295" w:type="dxa"/>
            <w:noWrap w:val="0"/>
            <w:vAlign w:val="center"/>
          </w:tcPr>
          <w:p w14:paraId="516192FA">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246" w:type="dxa"/>
            <w:noWrap w:val="0"/>
            <w:vAlign w:val="center"/>
          </w:tcPr>
          <w:p w14:paraId="0A098055">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4</w:t>
            </w:r>
          </w:p>
        </w:tc>
        <w:tc>
          <w:tcPr>
            <w:tcW w:w="1127" w:type="dxa"/>
            <w:noWrap w:val="0"/>
            <w:vAlign w:val="center"/>
          </w:tcPr>
          <w:p w14:paraId="023F47F6">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r>
      <w:tr w14:paraId="01E1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14:paraId="28E31A71">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2001~5000</w:t>
            </w:r>
          </w:p>
        </w:tc>
        <w:tc>
          <w:tcPr>
            <w:tcW w:w="1259" w:type="dxa"/>
            <w:noWrap w:val="0"/>
            <w:vAlign w:val="center"/>
          </w:tcPr>
          <w:p w14:paraId="24B5EF0A">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7</w:t>
            </w:r>
          </w:p>
        </w:tc>
        <w:tc>
          <w:tcPr>
            <w:tcW w:w="1240" w:type="dxa"/>
            <w:noWrap w:val="0"/>
            <w:vAlign w:val="center"/>
          </w:tcPr>
          <w:p w14:paraId="14528101">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8</w:t>
            </w:r>
          </w:p>
        </w:tc>
        <w:tc>
          <w:tcPr>
            <w:tcW w:w="1300" w:type="dxa"/>
            <w:noWrap w:val="0"/>
            <w:vAlign w:val="center"/>
          </w:tcPr>
          <w:p w14:paraId="55A76D3E">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295" w:type="dxa"/>
            <w:noWrap w:val="0"/>
            <w:vAlign w:val="center"/>
          </w:tcPr>
          <w:p w14:paraId="7745745E">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7</w:t>
            </w:r>
          </w:p>
        </w:tc>
        <w:tc>
          <w:tcPr>
            <w:tcW w:w="1246" w:type="dxa"/>
            <w:noWrap w:val="0"/>
            <w:vAlign w:val="center"/>
          </w:tcPr>
          <w:p w14:paraId="0B31E56D">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127" w:type="dxa"/>
            <w:noWrap w:val="0"/>
            <w:vAlign w:val="center"/>
          </w:tcPr>
          <w:p w14:paraId="74A3E2C9">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6</w:t>
            </w:r>
          </w:p>
        </w:tc>
      </w:tr>
      <w:tr w14:paraId="2288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7" w:type="dxa"/>
            <w:noWrap w:val="0"/>
            <w:vAlign w:val="center"/>
          </w:tcPr>
          <w:p w14:paraId="29ACCE69">
            <w:pPr>
              <w:pStyle w:val="59"/>
              <w:ind w:firstLine="0" w:firstLineChars="0"/>
              <w:jc w:val="center"/>
              <w:rPr>
                <w:rFonts w:hint="eastAsia" w:ascii="仿宋" w:hAnsi="仿宋" w:eastAsia="仿宋" w:cs="仿宋"/>
                <w:sz w:val="24"/>
                <w:szCs w:val="24"/>
              </w:rPr>
            </w:pPr>
            <w:bookmarkStart w:id="7" w:name="OLE_LINK8"/>
            <w:bookmarkStart w:id="8" w:name="OLE_LINK7"/>
            <w:r>
              <w:rPr>
                <w:rFonts w:hint="eastAsia" w:ascii="仿宋" w:hAnsi="仿宋" w:eastAsia="仿宋" w:cs="仿宋"/>
                <w:sz w:val="24"/>
                <w:szCs w:val="24"/>
              </w:rPr>
              <w:t>≥</w:t>
            </w:r>
            <w:bookmarkEnd w:id="7"/>
            <w:bookmarkEnd w:id="8"/>
            <w:r>
              <w:rPr>
                <w:rFonts w:hint="eastAsia" w:ascii="仿宋" w:hAnsi="仿宋" w:eastAsia="仿宋" w:cs="仿宋"/>
                <w:sz w:val="24"/>
                <w:szCs w:val="24"/>
              </w:rPr>
              <w:t>5001</w:t>
            </w:r>
          </w:p>
        </w:tc>
        <w:tc>
          <w:tcPr>
            <w:tcW w:w="1259" w:type="dxa"/>
            <w:noWrap w:val="0"/>
            <w:vAlign w:val="center"/>
          </w:tcPr>
          <w:p w14:paraId="6F138867">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9</w:t>
            </w:r>
          </w:p>
        </w:tc>
        <w:tc>
          <w:tcPr>
            <w:tcW w:w="1240" w:type="dxa"/>
            <w:noWrap w:val="0"/>
            <w:vAlign w:val="center"/>
          </w:tcPr>
          <w:p w14:paraId="146CA7EB">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10</w:t>
            </w:r>
          </w:p>
        </w:tc>
        <w:tc>
          <w:tcPr>
            <w:tcW w:w="1300" w:type="dxa"/>
            <w:noWrap w:val="0"/>
            <w:vAlign w:val="center"/>
          </w:tcPr>
          <w:p w14:paraId="330BDEC2">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8</w:t>
            </w:r>
          </w:p>
        </w:tc>
        <w:tc>
          <w:tcPr>
            <w:tcW w:w="1295" w:type="dxa"/>
            <w:noWrap w:val="0"/>
            <w:vAlign w:val="center"/>
          </w:tcPr>
          <w:p w14:paraId="4CE970AA">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9</w:t>
            </w:r>
          </w:p>
        </w:tc>
        <w:tc>
          <w:tcPr>
            <w:tcW w:w="1246" w:type="dxa"/>
            <w:noWrap w:val="0"/>
            <w:vAlign w:val="center"/>
          </w:tcPr>
          <w:p w14:paraId="5BD7A83D">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7</w:t>
            </w:r>
          </w:p>
        </w:tc>
        <w:tc>
          <w:tcPr>
            <w:tcW w:w="1127" w:type="dxa"/>
            <w:noWrap w:val="0"/>
            <w:vAlign w:val="center"/>
          </w:tcPr>
          <w:p w14:paraId="0D9EC21F">
            <w:pPr>
              <w:pStyle w:val="59"/>
              <w:ind w:firstLine="0" w:firstLineChars="0"/>
              <w:jc w:val="center"/>
              <w:rPr>
                <w:rFonts w:hint="eastAsia" w:ascii="仿宋" w:hAnsi="仿宋" w:eastAsia="仿宋" w:cs="仿宋"/>
                <w:sz w:val="24"/>
                <w:szCs w:val="24"/>
              </w:rPr>
            </w:pPr>
            <w:r>
              <w:rPr>
                <w:rFonts w:hint="eastAsia" w:ascii="仿宋" w:hAnsi="仿宋" w:eastAsia="仿宋" w:cs="仿宋"/>
                <w:sz w:val="24"/>
                <w:szCs w:val="24"/>
              </w:rPr>
              <w:t>8</w:t>
            </w:r>
          </w:p>
        </w:tc>
      </w:tr>
      <w:tr w14:paraId="795C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74" w:type="dxa"/>
            <w:gridSpan w:val="7"/>
            <w:noWrap w:val="0"/>
            <w:vAlign w:val="center"/>
          </w:tcPr>
          <w:p w14:paraId="4F6D6942">
            <w:pPr>
              <w:widowControl/>
              <w:jc w:val="left"/>
              <w:rPr>
                <w:rFonts w:hint="eastAsia" w:ascii="仿宋" w:hAnsi="仿宋" w:eastAsia="仿宋" w:cs="仿宋"/>
                <w:sz w:val="24"/>
                <w:szCs w:val="24"/>
              </w:rPr>
            </w:pPr>
            <w:r>
              <w:rPr>
                <w:rFonts w:hint="eastAsia" w:ascii="仿宋" w:hAnsi="仿宋" w:eastAsia="仿宋" w:cs="仿宋"/>
                <w:sz w:val="24"/>
                <w:szCs w:val="24"/>
              </w:rPr>
              <w:t>注：1.当运输包装和销售包装等同时，最大抽样基数为5000；</w:t>
            </w:r>
          </w:p>
          <w:p w14:paraId="783DC5FD">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2.小礼花同类组合、含小礼花不同类组合，包括小礼花中含不同内径筒体，以小礼花最小单筒内径和样品总发数抽取样本量；</w:t>
            </w:r>
          </w:p>
          <w:p w14:paraId="27B483DC">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3.吐珠组合、吐珠和喷花不同类组合，包括吐珠中含不同内径筒体，以吐珠类最小单筒内径和吐珠总发数抽取样本量；</w:t>
            </w:r>
          </w:p>
          <w:p w14:paraId="7EA2FDD7">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4.喷花组合以喷花类最小单筒内径和总发数抽取样本量；</w:t>
            </w:r>
          </w:p>
          <w:p w14:paraId="0C2A77E9">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5.</w:t>
            </w:r>
            <w:bookmarkStart w:id="9" w:name="OLE_LINK3"/>
            <w:r>
              <w:rPr>
                <w:rFonts w:hint="eastAsia" w:ascii="仿宋" w:hAnsi="仿宋" w:eastAsia="仿宋" w:cs="仿宋"/>
                <w:sz w:val="24"/>
                <w:szCs w:val="24"/>
              </w:rPr>
              <w:t>成箱产品中抽取样本，根据所抽样品种类，按表中规定的样本量数的50 %以上（进位取整）确定开箱检查数，再在随机抽取的箱中随机抽取至少1个样品组成所需样本量</w:t>
            </w:r>
            <w:bookmarkEnd w:id="9"/>
            <w:r>
              <w:rPr>
                <w:rFonts w:hint="eastAsia" w:ascii="仿宋" w:hAnsi="仿宋" w:eastAsia="仿宋" w:cs="仿宋"/>
                <w:sz w:val="24"/>
                <w:szCs w:val="24"/>
              </w:rPr>
              <w:t>。</w:t>
            </w:r>
          </w:p>
        </w:tc>
      </w:tr>
    </w:tbl>
    <w:p w14:paraId="65580DF4">
      <w:pPr>
        <w:snapToGrid w:val="0"/>
        <w:spacing w:line="440" w:lineRule="exact"/>
        <w:jc w:val="center"/>
        <w:rPr>
          <w:rFonts w:hint="eastAsia" w:ascii="仿宋" w:hAnsi="仿宋" w:eastAsia="仿宋" w:cs="仿宋"/>
          <w:sz w:val="24"/>
          <w:szCs w:val="24"/>
        </w:rPr>
      </w:pPr>
      <w:r>
        <w:rPr>
          <w:rFonts w:hint="eastAsia" w:ascii="仿宋" w:hAnsi="仿宋" w:eastAsia="仿宋" w:cs="仿宋"/>
          <w:sz w:val="24"/>
          <w:szCs w:val="24"/>
        </w:rPr>
        <w:t>表</w:t>
      </w:r>
      <w:r>
        <w:rPr>
          <w:rFonts w:hint="eastAsia" w:ascii="仿宋" w:hAnsi="仿宋" w:eastAsia="仿宋" w:cs="仿宋"/>
          <w:sz w:val="24"/>
          <w:szCs w:val="24"/>
          <w:lang w:val="en-US" w:eastAsia="zh-CN"/>
        </w:rPr>
        <w:t>4</w:t>
      </w:r>
      <w:r>
        <w:rPr>
          <w:rFonts w:hint="eastAsia" w:ascii="仿宋" w:hAnsi="仿宋" w:eastAsia="仿宋" w:cs="仿宋"/>
          <w:sz w:val="24"/>
          <w:szCs w:val="24"/>
        </w:rPr>
        <w:t xml:space="preserve"> 其他产品抽样样本量</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554"/>
        <w:gridCol w:w="1866"/>
        <w:gridCol w:w="1713"/>
        <w:gridCol w:w="1553"/>
      </w:tblGrid>
      <w:tr w14:paraId="0AF7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8" w:type="dxa"/>
            <w:noWrap w:val="0"/>
            <w:vAlign w:val="center"/>
          </w:tcPr>
          <w:p w14:paraId="050C613E">
            <w:pPr>
              <w:snapToGrid w:val="0"/>
              <w:jc w:val="center"/>
              <w:rPr>
                <w:rFonts w:hint="eastAsia" w:ascii="仿宋" w:hAnsi="仿宋" w:eastAsia="仿宋" w:cs="仿宋"/>
                <w:sz w:val="24"/>
                <w:szCs w:val="24"/>
              </w:rPr>
            </w:pPr>
            <w:r>
              <w:rPr>
                <w:rFonts w:hint="eastAsia" w:ascii="仿宋" w:hAnsi="仿宋" w:eastAsia="仿宋" w:cs="仿宋"/>
                <w:sz w:val="24"/>
                <w:szCs w:val="24"/>
              </w:rPr>
              <w:t>批量范围N</w:t>
            </w:r>
          </w:p>
        </w:tc>
        <w:tc>
          <w:tcPr>
            <w:tcW w:w="1554" w:type="dxa"/>
            <w:noWrap w:val="0"/>
            <w:vAlign w:val="center"/>
          </w:tcPr>
          <w:p w14:paraId="36E06F0E">
            <w:pPr>
              <w:snapToGrid w:val="0"/>
              <w:jc w:val="center"/>
              <w:rPr>
                <w:rFonts w:hint="eastAsia" w:ascii="仿宋" w:hAnsi="仿宋" w:eastAsia="仿宋" w:cs="仿宋"/>
                <w:sz w:val="24"/>
                <w:szCs w:val="24"/>
              </w:rPr>
            </w:pPr>
            <w:r>
              <w:rPr>
                <w:rFonts w:hint="eastAsia" w:ascii="仿宋" w:hAnsi="仿宋" w:eastAsia="仿宋" w:cs="仿宋"/>
                <w:sz w:val="24"/>
                <w:szCs w:val="24"/>
              </w:rPr>
              <w:t>≤500</w:t>
            </w:r>
          </w:p>
        </w:tc>
        <w:tc>
          <w:tcPr>
            <w:tcW w:w="1866" w:type="dxa"/>
            <w:noWrap w:val="0"/>
            <w:vAlign w:val="center"/>
          </w:tcPr>
          <w:p w14:paraId="697A136C">
            <w:pPr>
              <w:snapToGrid w:val="0"/>
              <w:jc w:val="center"/>
              <w:rPr>
                <w:rFonts w:hint="eastAsia" w:ascii="仿宋" w:hAnsi="仿宋" w:eastAsia="仿宋" w:cs="仿宋"/>
                <w:sz w:val="24"/>
                <w:szCs w:val="24"/>
              </w:rPr>
            </w:pPr>
            <w:r>
              <w:rPr>
                <w:rFonts w:hint="eastAsia" w:ascii="仿宋" w:hAnsi="仿宋" w:eastAsia="仿宋" w:cs="仿宋"/>
                <w:sz w:val="24"/>
                <w:szCs w:val="24"/>
              </w:rPr>
              <w:t>501~2000</w:t>
            </w:r>
          </w:p>
        </w:tc>
        <w:tc>
          <w:tcPr>
            <w:tcW w:w="1713" w:type="dxa"/>
            <w:noWrap w:val="0"/>
            <w:vAlign w:val="center"/>
          </w:tcPr>
          <w:p w14:paraId="3F2737B5">
            <w:pPr>
              <w:snapToGrid w:val="0"/>
              <w:jc w:val="center"/>
              <w:rPr>
                <w:rFonts w:hint="eastAsia" w:ascii="仿宋" w:hAnsi="仿宋" w:eastAsia="仿宋" w:cs="仿宋"/>
                <w:sz w:val="24"/>
                <w:szCs w:val="24"/>
              </w:rPr>
            </w:pPr>
            <w:r>
              <w:rPr>
                <w:rFonts w:hint="eastAsia" w:ascii="仿宋" w:hAnsi="仿宋" w:eastAsia="仿宋" w:cs="仿宋"/>
                <w:sz w:val="24"/>
                <w:szCs w:val="24"/>
              </w:rPr>
              <w:t>2001~5000</w:t>
            </w:r>
          </w:p>
        </w:tc>
        <w:tc>
          <w:tcPr>
            <w:tcW w:w="1553" w:type="dxa"/>
            <w:noWrap w:val="0"/>
            <w:vAlign w:val="center"/>
          </w:tcPr>
          <w:p w14:paraId="38EF21DC">
            <w:pPr>
              <w:snapToGrid w:val="0"/>
              <w:jc w:val="center"/>
              <w:rPr>
                <w:rFonts w:hint="eastAsia" w:ascii="仿宋" w:hAnsi="仿宋" w:eastAsia="仿宋" w:cs="仿宋"/>
                <w:sz w:val="24"/>
                <w:szCs w:val="24"/>
              </w:rPr>
            </w:pPr>
            <w:r>
              <w:rPr>
                <w:rFonts w:hint="eastAsia" w:ascii="仿宋" w:hAnsi="仿宋" w:eastAsia="仿宋" w:cs="仿宋"/>
                <w:sz w:val="24"/>
                <w:szCs w:val="24"/>
              </w:rPr>
              <w:t>≥5001</w:t>
            </w:r>
          </w:p>
        </w:tc>
      </w:tr>
      <w:tr w14:paraId="40BF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8" w:type="dxa"/>
            <w:noWrap w:val="0"/>
            <w:vAlign w:val="center"/>
          </w:tcPr>
          <w:p w14:paraId="46E99FA3">
            <w:pPr>
              <w:snapToGrid w:val="0"/>
              <w:jc w:val="center"/>
              <w:rPr>
                <w:rFonts w:hint="eastAsia" w:ascii="仿宋" w:hAnsi="仿宋" w:eastAsia="仿宋" w:cs="仿宋"/>
                <w:sz w:val="24"/>
                <w:szCs w:val="24"/>
              </w:rPr>
            </w:pPr>
            <w:r>
              <w:rPr>
                <w:rFonts w:hint="eastAsia" w:ascii="仿宋" w:hAnsi="仿宋" w:eastAsia="仿宋" w:cs="仿宋"/>
                <w:sz w:val="24"/>
                <w:szCs w:val="24"/>
              </w:rPr>
              <w:t>样本量n</w:t>
            </w:r>
          </w:p>
        </w:tc>
        <w:tc>
          <w:tcPr>
            <w:tcW w:w="1554" w:type="dxa"/>
            <w:noWrap w:val="0"/>
            <w:vAlign w:val="center"/>
          </w:tcPr>
          <w:p w14:paraId="56D980C8">
            <w:pPr>
              <w:snapToGrid w:val="0"/>
              <w:jc w:val="center"/>
              <w:rPr>
                <w:rFonts w:hint="eastAsia" w:ascii="仿宋" w:hAnsi="仿宋" w:eastAsia="仿宋" w:cs="仿宋"/>
                <w:sz w:val="24"/>
                <w:szCs w:val="24"/>
              </w:rPr>
            </w:pPr>
            <w:r>
              <w:rPr>
                <w:rFonts w:hint="eastAsia" w:ascii="仿宋" w:hAnsi="仿宋" w:eastAsia="仿宋" w:cs="仿宋"/>
                <w:sz w:val="24"/>
                <w:szCs w:val="24"/>
              </w:rPr>
              <w:t>5</w:t>
            </w:r>
          </w:p>
        </w:tc>
        <w:tc>
          <w:tcPr>
            <w:tcW w:w="1866" w:type="dxa"/>
            <w:noWrap w:val="0"/>
            <w:vAlign w:val="center"/>
          </w:tcPr>
          <w:p w14:paraId="726D4E68">
            <w:pPr>
              <w:snapToGrid w:val="0"/>
              <w:jc w:val="center"/>
              <w:rPr>
                <w:rFonts w:hint="eastAsia" w:ascii="仿宋" w:hAnsi="仿宋" w:eastAsia="仿宋" w:cs="仿宋"/>
                <w:sz w:val="24"/>
                <w:szCs w:val="24"/>
              </w:rPr>
            </w:pPr>
            <w:r>
              <w:rPr>
                <w:rFonts w:hint="eastAsia" w:ascii="仿宋" w:hAnsi="仿宋" w:eastAsia="仿宋" w:cs="仿宋"/>
                <w:sz w:val="24"/>
                <w:szCs w:val="24"/>
              </w:rPr>
              <w:t>8</w:t>
            </w:r>
          </w:p>
        </w:tc>
        <w:tc>
          <w:tcPr>
            <w:tcW w:w="1713" w:type="dxa"/>
            <w:noWrap w:val="0"/>
            <w:vAlign w:val="center"/>
          </w:tcPr>
          <w:p w14:paraId="6FA73076">
            <w:pPr>
              <w:snapToGrid w:val="0"/>
              <w:jc w:val="center"/>
              <w:rPr>
                <w:rFonts w:hint="eastAsia" w:ascii="仿宋" w:hAnsi="仿宋" w:eastAsia="仿宋" w:cs="仿宋"/>
                <w:sz w:val="24"/>
                <w:szCs w:val="24"/>
              </w:rPr>
            </w:pPr>
            <w:r>
              <w:rPr>
                <w:rFonts w:hint="eastAsia" w:ascii="仿宋" w:hAnsi="仿宋" w:eastAsia="仿宋" w:cs="仿宋"/>
                <w:sz w:val="24"/>
                <w:szCs w:val="24"/>
              </w:rPr>
              <w:t>10</w:t>
            </w:r>
          </w:p>
        </w:tc>
        <w:tc>
          <w:tcPr>
            <w:tcW w:w="1553" w:type="dxa"/>
            <w:noWrap w:val="0"/>
            <w:vAlign w:val="center"/>
          </w:tcPr>
          <w:p w14:paraId="4C9BDA39">
            <w:pPr>
              <w:snapToGrid w:val="0"/>
              <w:jc w:val="center"/>
              <w:rPr>
                <w:rFonts w:hint="eastAsia" w:ascii="仿宋" w:hAnsi="仿宋" w:eastAsia="仿宋" w:cs="仿宋"/>
                <w:sz w:val="24"/>
                <w:szCs w:val="24"/>
              </w:rPr>
            </w:pPr>
            <w:r>
              <w:rPr>
                <w:rFonts w:hint="eastAsia" w:ascii="仿宋" w:hAnsi="仿宋" w:eastAsia="仿宋" w:cs="仿宋"/>
                <w:sz w:val="24"/>
                <w:szCs w:val="24"/>
              </w:rPr>
              <w:t>13</w:t>
            </w:r>
          </w:p>
        </w:tc>
      </w:tr>
      <w:tr w14:paraId="65F0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74" w:type="dxa"/>
            <w:gridSpan w:val="5"/>
            <w:noWrap w:val="0"/>
            <w:vAlign w:val="center"/>
          </w:tcPr>
          <w:p w14:paraId="3A8D37FB">
            <w:pPr>
              <w:snapToGrid w:val="0"/>
              <w:jc w:val="left"/>
              <w:rPr>
                <w:rFonts w:hint="eastAsia" w:ascii="仿宋" w:hAnsi="仿宋" w:eastAsia="仿宋" w:cs="仿宋"/>
                <w:sz w:val="24"/>
                <w:szCs w:val="24"/>
              </w:rPr>
            </w:pPr>
            <w:r>
              <w:rPr>
                <w:rFonts w:hint="eastAsia" w:ascii="仿宋" w:hAnsi="仿宋" w:eastAsia="仿宋" w:cs="仿宋"/>
                <w:sz w:val="24"/>
                <w:szCs w:val="24"/>
              </w:rPr>
              <w:t>注：成箱产品中抽取样本，根据所抽样品种类，按表中规定的样本量数的50 %以上（进位取整）确定开箱检查数，再在随机抽取的箱中随机抽取至少1个样品组成所需样本量。</w:t>
            </w:r>
          </w:p>
        </w:tc>
      </w:tr>
      <w:bookmarkEnd w:id="0"/>
    </w:tbl>
    <w:p w14:paraId="1FA75173">
      <w:pPr>
        <w:pStyle w:val="23"/>
        <w:numPr>
          <w:ilvl w:val="0"/>
          <w:numId w:val="0"/>
        </w:numPr>
        <w:jc w:val="left"/>
        <w:rPr>
          <w:rFonts w:hint="default" w:ascii="仿宋" w:hAnsi="仿宋" w:eastAsia="仿宋" w:cs="仿宋"/>
          <w:b/>
          <w:bCs/>
          <w:sz w:val="28"/>
          <w:szCs w:val="32"/>
          <w:lang w:val="en-US" w:eastAsia="zh-CN"/>
        </w:rPr>
      </w:pPr>
      <w:r>
        <w:rPr>
          <w:rFonts w:hint="eastAsia" w:ascii="黑体" w:hAnsi="黑体" w:eastAsia="黑体"/>
          <w:lang w:eastAsia="zh-CN"/>
        </w:rPr>
        <w:t>四、</w:t>
      </w:r>
      <w:r>
        <w:rPr>
          <w:rFonts w:hint="eastAsia" w:ascii="黑体" w:hAnsi="黑体" w:eastAsia="黑体"/>
        </w:rPr>
        <w:t>抽查检验项目</w:t>
      </w:r>
      <w:r>
        <w:rPr>
          <w:rFonts w:hint="eastAsia" w:ascii="黑体" w:hAnsi="黑体" w:eastAsia="黑体"/>
          <w:lang w:val="en-US" w:eastAsia="zh-CN"/>
        </w:rPr>
        <w:t>及</w:t>
      </w:r>
      <w:r>
        <w:rPr>
          <w:rFonts w:hint="eastAsia" w:ascii="黑体" w:hAnsi="黑体" w:eastAsia="黑体"/>
          <w:lang w:eastAsia="zh-CN"/>
        </w:rPr>
        <w:t>执行标准表</w:t>
      </w:r>
      <w:r>
        <w:rPr>
          <w:rFonts w:hint="eastAsia" w:ascii="黑体" w:hAnsi="黑体" w:eastAsia="黑体"/>
          <w:lang w:val="en-US" w:eastAsia="zh-CN"/>
        </w:rPr>
        <w:t>5</w:t>
      </w:r>
    </w:p>
    <w:p w14:paraId="16B1CA1A">
      <w:pPr>
        <w:pStyle w:val="23"/>
        <w:numPr>
          <w:ilvl w:val="0"/>
          <w:numId w:val="0"/>
        </w:numPr>
        <w:spacing w:line="240" w:lineRule="auto"/>
        <w:jc w:val="center"/>
        <w:rPr>
          <w:rFonts w:hint="default"/>
          <w:lang w:val="en-US" w:eastAsia="zh-CN"/>
        </w:rPr>
      </w:pPr>
      <w:r>
        <w:rPr>
          <w:rFonts w:hint="eastAsia" w:ascii="仿宋" w:hAnsi="仿宋" w:eastAsia="仿宋" w:cs="仿宋"/>
          <w:b/>
          <w:bCs/>
          <w:sz w:val="28"/>
          <w:szCs w:val="32"/>
          <w:lang w:val="en-US" w:eastAsia="zh-CN"/>
        </w:rPr>
        <w:t>表5 抽查检验项目、执行标准</w:t>
      </w:r>
    </w:p>
    <w:tbl>
      <w:tblPr>
        <w:tblStyle w:val="27"/>
        <w:tblW w:w="11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331"/>
        <w:gridCol w:w="3074"/>
        <w:gridCol w:w="2665"/>
        <w:gridCol w:w="1088"/>
        <w:gridCol w:w="1186"/>
        <w:gridCol w:w="1186"/>
      </w:tblGrid>
      <w:tr w14:paraId="67EE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77FEC87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序号</w:t>
            </w:r>
          </w:p>
        </w:tc>
        <w:tc>
          <w:tcPr>
            <w:tcW w:w="1331" w:type="dxa"/>
            <w:tcMar>
              <w:top w:w="-1" w:type="dxa"/>
              <w:left w:w="-1" w:type="dxa"/>
              <w:bottom w:w="-1" w:type="dxa"/>
              <w:right w:w="-1" w:type="dxa"/>
            </w:tcMar>
            <w:vAlign w:val="center"/>
          </w:tcPr>
          <w:p w14:paraId="0D22A64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产品名称</w:t>
            </w:r>
          </w:p>
        </w:tc>
        <w:tc>
          <w:tcPr>
            <w:tcW w:w="3074" w:type="dxa"/>
            <w:tcMar>
              <w:top w:w="-1" w:type="dxa"/>
              <w:left w:w="-1" w:type="dxa"/>
              <w:bottom w:w="-1" w:type="dxa"/>
              <w:right w:w="-1" w:type="dxa"/>
            </w:tcMar>
            <w:vAlign w:val="center"/>
          </w:tcPr>
          <w:p w14:paraId="7C5083F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检验项目</w:t>
            </w:r>
          </w:p>
        </w:tc>
        <w:tc>
          <w:tcPr>
            <w:tcW w:w="2665" w:type="dxa"/>
            <w:tcMar>
              <w:top w:w="-1" w:type="dxa"/>
              <w:left w:w="-1" w:type="dxa"/>
              <w:bottom w:w="-1" w:type="dxa"/>
              <w:right w:w="-1" w:type="dxa"/>
            </w:tcMar>
            <w:vAlign w:val="center"/>
          </w:tcPr>
          <w:p w14:paraId="475B408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执行标准</w:t>
            </w:r>
          </w:p>
        </w:tc>
        <w:tc>
          <w:tcPr>
            <w:tcW w:w="1088" w:type="dxa"/>
            <w:tcMar>
              <w:top w:w="-1" w:type="dxa"/>
              <w:left w:w="-1" w:type="dxa"/>
              <w:bottom w:w="-1" w:type="dxa"/>
              <w:right w:w="-1" w:type="dxa"/>
            </w:tcMar>
            <w:vAlign w:val="center"/>
          </w:tcPr>
          <w:p w14:paraId="531E91D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抽检批次</w:t>
            </w:r>
          </w:p>
        </w:tc>
        <w:tc>
          <w:tcPr>
            <w:tcW w:w="1186" w:type="dxa"/>
            <w:tcMar>
              <w:top w:w="-1" w:type="dxa"/>
              <w:left w:w="-1" w:type="dxa"/>
              <w:bottom w:w="-1" w:type="dxa"/>
              <w:right w:w="-1" w:type="dxa"/>
            </w:tcMar>
            <w:vAlign w:val="center"/>
          </w:tcPr>
          <w:p w14:paraId="7AC40AF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单价（元）</w:t>
            </w:r>
          </w:p>
        </w:tc>
        <w:tc>
          <w:tcPr>
            <w:tcW w:w="1186" w:type="dxa"/>
            <w:tcMar>
              <w:top w:w="-1" w:type="dxa"/>
              <w:left w:w="-1" w:type="dxa"/>
              <w:bottom w:w="-1" w:type="dxa"/>
              <w:right w:w="-1" w:type="dxa"/>
            </w:tcMar>
            <w:vAlign w:val="center"/>
          </w:tcPr>
          <w:p w14:paraId="21B1737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合计（元）</w:t>
            </w:r>
          </w:p>
        </w:tc>
      </w:tr>
      <w:tr w14:paraId="4CB4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1B5C7BE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w:t>
            </w:r>
          </w:p>
        </w:tc>
        <w:tc>
          <w:tcPr>
            <w:tcW w:w="1331" w:type="dxa"/>
            <w:tcMar>
              <w:top w:w="-1" w:type="dxa"/>
              <w:left w:w="-1" w:type="dxa"/>
              <w:bottom w:w="-1" w:type="dxa"/>
              <w:right w:w="-1" w:type="dxa"/>
            </w:tcMar>
            <w:vAlign w:val="center"/>
          </w:tcPr>
          <w:p w14:paraId="4DCBC25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车用汽油</w:t>
            </w:r>
          </w:p>
        </w:tc>
        <w:tc>
          <w:tcPr>
            <w:tcW w:w="3074" w:type="dxa"/>
            <w:tcMar>
              <w:top w:w="-1" w:type="dxa"/>
              <w:left w:w="-1" w:type="dxa"/>
              <w:bottom w:w="-1" w:type="dxa"/>
              <w:right w:w="-1" w:type="dxa"/>
            </w:tcMar>
            <w:vAlign w:val="center"/>
          </w:tcPr>
          <w:p w14:paraId="1AF6A63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抗爆性</w:t>
            </w:r>
          </w:p>
          <w:p w14:paraId="63408F4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馏程</w:t>
            </w:r>
          </w:p>
          <w:p w14:paraId="1C93E1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铜片腐蚀</w:t>
            </w:r>
          </w:p>
          <w:p w14:paraId="2C9A964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机械杂质与水分</w:t>
            </w:r>
          </w:p>
          <w:p w14:paraId="123004E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密度</w:t>
            </w:r>
          </w:p>
          <w:p w14:paraId="5901D85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蒸汽压</w:t>
            </w:r>
          </w:p>
          <w:p w14:paraId="48E4224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芳烃含量</w:t>
            </w:r>
          </w:p>
          <w:p w14:paraId="385E024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硫含量</w:t>
            </w:r>
          </w:p>
          <w:p w14:paraId="1BE58E9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氧含量</w:t>
            </w:r>
          </w:p>
          <w:p w14:paraId="619A0EB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甲醇含量</w:t>
            </w:r>
          </w:p>
        </w:tc>
        <w:tc>
          <w:tcPr>
            <w:tcW w:w="2665" w:type="dxa"/>
            <w:tcMar>
              <w:top w:w="-1" w:type="dxa"/>
              <w:left w:w="-1" w:type="dxa"/>
              <w:bottom w:w="-1" w:type="dxa"/>
              <w:right w:w="-1" w:type="dxa"/>
            </w:tcMar>
            <w:vAlign w:val="center"/>
          </w:tcPr>
          <w:p w14:paraId="2BA4964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GB 17930-2016《车用汽油》</w:t>
            </w:r>
          </w:p>
        </w:tc>
        <w:tc>
          <w:tcPr>
            <w:tcW w:w="1088" w:type="dxa"/>
            <w:tcMar>
              <w:top w:w="-1" w:type="dxa"/>
              <w:left w:w="-1" w:type="dxa"/>
              <w:bottom w:w="-1" w:type="dxa"/>
              <w:right w:w="-1" w:type="dxa"/>
            </w:tcMar>
            <w:vAlign w:val="center"/>
          </w:tcPr>
          <w:p w14:paraId="030C272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25</w:t>
            </w:r>
          </w:p>
        </w:tc>
        <w:tc>
          <w:tcPr>
            <w:tcW w:w="1186" w:type="dxa"/>
            <w:tcMar>
              <w:top w:w="-1" w:type="dxa"/>
              <w:left w:w="-1" w:type="dxa"/>
              <w:bottom w:w="-1" w:type="dxa"/>
              <w:right w:w="-1" w:type="dxa"/>
            </w:tcMar>
            <w:vAlign w:val="center"/>
          </w:tcPr>
          <w:p w14:paraId="7E50FA6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990</w:t>
            </w:r>
          </w:p>
        </w:tc>
        <w:tc>
          <w:tcPr>
            <w:tcW w:w="1186" w:type="dxa"/>
            <w:tcMar>
              <w:top w:w="-1" w:type="dxa"/>
              <w:left w:w="-1" w:type="dxa"/>
              <w:bottom w:w="-1" w:type="dxa"/>
              <w:right w:w="-1" w:type="dxa"/>
            </w:tcMar>
            <w:vAlign w:val="center"/>
          </w:tcPr>
          <w:p w14:paraId="3F2D171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24750</w:t>
            </w:r>
          </w:p>
        </w:tc>
      </w:tr>
      <w:tr w14:paraId="7015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3EB46F6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2</w:t>
            </w:r>
          </w:p>
        </w:tc>
        <w:tc>
          <w:tcPr>
            <w:tcW w:w="1331" w:type="dxa"/>
            <w:tcMar>
              <w:top w:w="-1" w:type="dxa"/>
              <w:left w:w="-1" w:type="dxa"/>
              <w:bottom w:w="-1" w:type="dxa"/>
              <w:right w:w="-1" w:type="dxa"/>
            </w:tcMar>
            <w:vAlign w:val="center"/>
          </w:tcPr>
          <w:p w14:paraId="0CFBE42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醇基</w:t>
            </w:r>
            <w:r>
              <w:rPr>
                <w:rFonts w:hint="eastAsia" w:ascii="仿宋" w:hAnsi="仿宋" w:eastAsia="仿宋" w:cs="仿宋"/>
                <w:sz w:val="24"/>
                <w:szCs w:val="24"/>
                <w:highlight w:val="none"/>
                <w:vertAlign w:val="baseline"/>
                <w:lang w:val="en-US" w:eastAsia="zh-CN"/>
              </w:rPr>
              <w:t>液体燃料</w:t>
            </w:r>
          </w:p>
        </w:tc>
        <w:tc>
          <w:tcPr>
            <w:tcW w:w="3074" w:type="dxa"/>
            <w:tcMar>
              <w:top w:w="-1" w:type="dxa"/>
              <w:left w:w="-1" w:type="dxa"/>
              <w:bottom w:w="-1" w:type="dxa"/>
              <w:right w:w="-1" w:type="dxa"/>
            </w:tcMar>
            <w:vAlign w:val="center"/>
          </w:tcPr>
          <w:p w14:paraId="7CA11B9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甲醇含量</w:t>
            </w:r>
          </w:p>
          <w:p w14:paraId="0C56971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密度</w:t>
            </w:r>
          </w:p>
          <w:p w14:paraId="5B25ACF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pH值</w:t>
            </w:r>
          </w:p>
          <w:p w14:paraId="67926CE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灰分</w:t>
            </w:r>
          </w:p>
          <w:p w14:paraId="1534617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水含量</w:t>
            </w:r>
          </w:p>
          <w:p w14:paraId="40222BA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硫含量</w:t>
            </w:r>
          </w:p>
          <w:p w14:paraId="63341B4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甲醛含量</w:t>
            </w:r>
          </w:p>
        </w:tc>
        <w:tc>
          <w:tcPr>
            <w:tcW w:w="2665" w:type="dxa"/>
            <w:tcMar>
              <w:top w:w="-1" w:type="dxa"/>
              <w:left w:w="-1" w:type="dxa"/>
              <w:bottom w:w="-1" w:type="dxa"/>
              <w:right w:w="-1" w:type="dxa"/>
            </w:tcMar>
            <w:vAlign w:val="center"/>
          </w:tcPr>
          <w:p w14:paraId="265600D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GB 16663</w:t>
            </w:r>
            <w:r>
              <w:rPr>
                <w:rFonts w:hint="eastAsia" w:ascii="仿宋" w:hAnsi="仿宋" w:eastAsia="仿宋" w:cs="仿宋"/>
                <w:sz w:val="24"/>
                <w:szCs w:val="24"/>
                <w:highlight w:val="none"/>
                <w:vertAlign w:val="baseline"/>
                <w:lang w:val="en-US" w:eastAsia="zh-CN"/>
              </w:rPr>
              <w:t>-2025</w:t>
            </w:r>
            <w:r>
              <w:rPr>
                <w:rFonts w:hint="eastAsia" w:ascii="仿宋" w:hAnsi="仿宋" w:eastAsia="仿宋" w:cs="仿宋"/>
                <w:sz w:val="24"/>
                <w:szCs w:val="24"/>
                <w:highlight w:val="none"/>
                <w:vertAlign w:val="baseline"/>
              </w:rPr>
              <w:t>《醇基液体燃料》</w:t>
            </w:r>
          </w:p>
        </w:tc>
        <w:tc>
          <w:tcPr>
            <w:tcW w:w="1088" w:type="dxa"/>
            <w:tcMar>
              <w:top w:w="-1" w:type="dxa"/>
              <w:left w:w="-1" w:type="dxa"/>
              <w:bottom w:w="-1" w:type="dxa"/>
              <w:right w:w="-1" w:type="dxa"/>
            </w:tcMar>
            <w:vAlign w:val="center"/>
          </w:tcPr>
          <w:p w14:paraId="7D0CC90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5</w:t>
            </w:r>
          </w:p>
        </w:tc>
        <w:tc>
          <w:tcPr>
            <w:tcW w:w="1186" w:type="dxa"/>
            <w:tcMar>
              <w:top w:w="-1" w:type="dxa"/>
              <w:left w:w="-1" w:type="dxa"/>
              <w:bottom w:w="-1" w:type="dxa"/>
              <w:right w:w="-1" w:type="dxa"/>
            </w:tcMar>
            <w:vAlign w:val="center"/>
          </w:tcPr>
          <w:p w14:paraId="71A3C6A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1100</w:t>
            </w:r>
          </w:p>
        </w:tc>
        <w:tc>
          <w:tcPr>
            <w:tcW w:w="1186" w:type="dxa"/>
            <w:tcMar>
              <w:top w:w="-1" w:type="dxa"/>
              <w:left w:w="-1" w:type="dxa"/>
              <w:bottom w:w="-1" w:type="dxa"/>
              <w:right w:w="-1" w:type="dxa"/>
            </w:tcMar>
            <w:vAlign w:val="center"/>
          </w:tcPr>
          <w:p w14:paraId="101E9D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5500</w:t>
            </w:r>
          </w:p>
        </w:tc>
      </w:tr>
      <w:tr w14:paraId="5048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389C619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3</w:t>
            </w:r>
          </w:p>
        </w:tc>
        <w:tc>
          <w:tcPr>
            <w:tcW w:w="1331" w:type="dxa"/>
            <w:tcMar>
              <w:top w:w="-1" w:type="dxa"/>
              <w:left w:w="-1" w:type="dxa"/>
              <w:bottom w:w="-1" w:type="dxa"/>
              <w:right w:w="-1" w:type="dxa"/>
            </w:tcMar>
            <w:vAlign w:val="center"/>
          </w:tcPr>
          <w:p w14:paraId="5564007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电动自行车（外检）</w:t>
            </w:r>
          </w:p>
        </w:tc>
        <w:tc>
          <w:tcPr>
            <w:tcW w:w="3074" w:type="dxa"/>
            <w:tcMar>
              <w:top w:w="-1" w:type="dxa"/>
              <w:left w:w="-1" w:type="dxa"/>
              <w:bottom w:w="-1" w:type="dxa"/>
              <w:right w:w="-1" w:type="dxa"/>
            </w:tcMar>
            <w:vAlign w:val="center"/>
          </w:tcPr>
          <w:p w14:paraId="45E04D9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铭牌</w:t>
            </w:r>
          </w:p>
          <w:p w14:paraId="07D1821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rPr>
              <w:t>结构</w:t>
            </w:r>
            <w:r>
              <w:rPr>
                <w:rFonts w:hint="eastAsia" w:ascii="仿宋" w:hAnsi="仿宋" w:eastAsia="仿宋" w:cs="仿宋"/>
                <w:sz w:val="24"/>
                <w:szCs w:val="24"/>
                <w:highlight w:val="none"/>
                <w:vertAlign w:val="baseline"/>
                <w:lang w:eastAsia="zh-CN"/>
              </w:rPr>
              <w:t>（防碰擦）</w:t>
            </w:r>
          </w:p>
          <w:p w14:paraId="469C71D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电气装置（短路保护）</w:t>
            </w:r>
            <w:r>
              <w:rPr>
                <w:rFonts w:hint="eastAsia" w:ascii="仿宋" w:hAnsi="仿宋" w:eastAsia="仿宋" w:cs="仿宋"/>
                <w:sz w:val="24"/>
                <w:szCs w:val="24"/>
                <w:highlight w:val="none"/>
                <w:vertAlign w:val="baseline"/>
                <w:lang w:val="en-US" w:eastAsia="zh-CN"/>
              </w:rPr>
              <w:br w:type="textWrapping"/>
            </w:r>
            <w:r>
              <w:rPr>
                <w:rFonts w:hint="eastAsia" w:ascii="仿宋" w:hAnsi="仿宋" w:eastAsia="仿宋" w:cs="仿宋"/>
                <w:sz w:val="24"/>
                <w:szCs w:val="24"/>
                <w:highlight w:val="none"/>
                <w:vertAlign w:val="baseline"/>
                <w:lang w:val="en-US" w:eastAsia="zh-CN"/>
              </w:rPr>
              <w:t>电池和电池组（电池组最大输出电压）</w:t>
            </w:r>
            <w:r>
              <w:rPr>
                <w:rFonts w:hint="eastAsia" w:ascii="仿宋" w:hAnsi="仿宋" w:eastAsia="仿宋" w:cs="仿宋"/>
                <w:sz w:val="24"/>
                <w:szCs w:val="24"/>
                <w:highlight w:val="none"/>
                <w:vertAlign w:val="baseline"/>
                <w:lang w:val="en-US" w:eastAsia="zh-CN"/>
              </w:rPr>
              <w:br w:type="textWrapping"/>
            </w:r>
            <w:r>
              <w:rPr>
                <w:rFonts w:hint="eastAsia" w:ascii="仿宋" w:hAnsi="仿宋" w:eastAsia="仿宋" w:cs="仿宋"/>
                <w:sz w:val="24"/>
                <w:szCs w:val="24"/>
                <w:highlight w:val="none"/>
                <w:vertAlign w:val="baseline"/>
                <w:lang w:val="en-US" w:eastAsia="zh-CN"/>
              </w:rPr>
              <w:t>尺寸限值（鞍座长度）</w:t>
            </w:r>
            <w:r>
              <w:rPr>
                <w:rFonts w:hint="eastAsia" w:ascii="仿宋" w:hAnsi="仿宋" w:eastAsia="仿宋" w:cs="仿宋"/>
                <w:sz w:val="24"/>
                <w:szCs w:val="24"/>
                <w:highlight w:val="none"/>
                <w:vertAlign w:val="baseline"/>
                <w:lang w:val="en-US" w:eastAsia="zh-CN"/>
              </w:rPr>
              <w:br w:type="textWrapping"/>
            </w:r>
            <w:r>
              <w:rPr>
                <w:rFonts w:hint="eastAsia" w:ascii="仿宋" w:hAnsi="仿宋" w:eastAsia="仿宋" w:cs="仿宋"/>
                <w:sz w:val="24"/>
                <w:szCs w:val="24"/>
                <w:highlight w:val="none"/>
                <w:vertAlign w:val="baseline"/>
                <w:lang w:val="en-US" w:eastAsia="zh-CN"/>
              </w:rPr>
              <w:t>电动机编码</w:t>
            </w:r>
            <w:r>
              <w:rPr>
                <w:rFonts w:hint="eastAsia" w:ascii="仿宋" w:hAnsi="仿宋" w:eastAsia="仿宋" w:cs="仿宋"/>
                <w:sz w:val="24"/>
                <w:szCs w:val="24"/>
                <w:highlight w:val="none"/>
                <w:vertAlign w:val="baseline"/>
                <w:lang w:val="en-US" w:eastAsia="zh-CN"/>
              </w:rPr>
              <w:br w:type="textWrapping"/>
            </w:r>
            <w:r>
              <w:rPr>
                <w:rFonts w:hint="eastAsia" w:ascii="仿宋" w:hAnsi="仿宋" w:eastAsia="仿宋" w:cs="仿宋"/>
                <w:sz w:val="24"/>
                <w:szCs w:val="24"/>
                <w:highlight w:val="none"/>
                <w:vertAlign w:val="baseline"/>
                <w:lang w:val="en-US" w:eastAsia="zh-CN"/>
              </w:rPr>
              <w:t>标识与警示语</w:t>
            </w:r>
            <w:r>
              <w:rPr>
                <w:rFonts w:hint="eastAsia" w:ascii="仿宋" w:hAnsi="仿宋" w:eastAsia="仿宋" w:cs="仿宋"/>
                <w:sz w:val="24"/>
                <w:szCs w:val="24"/>
                <w:highlight w:val="none"/>
                <w:vertAlign w:val="baseline"/>
                <w:lang w:val="en-US" w:eastAsia="zh-CN"/>
              </w:rPr>
              <w:br w:type="textWrapping"/>
            </w:r>
            <w:r>
              <w:rPr>
                <w:rFonts w:hint="eastAsia" w:ascii="仿宋" w:hAnsi="仿宋" w:eastAsia="仿宋" w:cs="仿宋"/>
                <w:sz w:val="24"/>
                <w:szCs w:val="24"/>
                <w:highlight w:val="none"/>
                <w:vertAlign w:val="baseline"/>
                <w:lang w:val="en-US" w:eastAsia="zh-CN"/>
              </w:rPr>
              <w:t>反射器、照明和鸣号装置（安装）</w:t>
            </w:r>
            <w:r>
              <w:rPr>
                <w:rFonts w:hint="eastAsia" w:ascii="仿宋" w:hAnsi="仿宋" w:eastAsia="仿宋" w:cs="仿宋"/>
                <w:sz w:val="24"/>
                <w:szCs w:val="24"/>
                <w:highlight w:val="none"/>
                <w:vertAlign w:val="baseline"/>
                <w:lang w:val="en-US" w:eastAsia="zh-CN"/>
              </w:rPr>
              <w:br w:type="textWrapping"/>
            </w:r>
            <w:r>
              <w:rPr>
                <w:rFonts w:hint="eastAsia" w:ascii="仿宋" w:hAnsi="仿宋" w:eastAsia="仿宋" w:cs="仿宋"/>
                <w:sz w:val="24"/>
                <w:szCs w:val="24"/>
                <w:highlight w:val="none"/>
                <w:vertAlign w:val="baseline"/>
                <w:lang w:val="en-US" w:eastAsia="zh-CN"/>
              </w:rPr>
              <w:t>充电器（充电器制造形式）</w:t>
            </w:r>
          </w:p>
        </w:tc>
        <w:tc>
          <w:tcPr>
            <w:tcW w:w="2665" w:type="dxa"/>
            <w:tcMar>
              <w:top w:w="-1" w:type="dxa"/>
              <w:left w:w="-1" w:type="dxa"/>
              <w:bottom w:w="-1" w:type="dxa"/>
              <w:right w:w="-1" w:type="dxa"/>
            </w:tcMar>
            <w:vAlign w:val="center"/>
          </w:tcPr>
          <w:p w14:paraId="38FB45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eastAsia="zh-CN"/>
              </w:rPr>
            </w:pPr>
            <w:r>
              <w:rPr>
                <w:rFonts w:hint="eastAsia" w:ascii="仿宋" w:hAnsi="仿宋" w:eastAsia="仿宋" w:cs="仿宋"/>
                <w:sz w:val="24"/>
                <w:szCs w:val="24"/>
                <w:highlight w:val="none"/>
                <w:vertAlign w:val="baseline"/>
              </w:rPr>
              <w:t>GB 17761-2024《电动自行车安全技术规范》</w:t>
            </w:r>
            <w:r>
              <w:rPr>
                <w:rFonts w:hint="eastAsia" w:ascii="仿宋" w:hAnsi="仿宋" w:eastAsia="仿宋" w:cs="仿宋"/>
                <w:sz w:val="24"/>
                <w:szCs w:val="24"/>
                <w:highlight w:val="none"/>
                <w:vertAlign w:val="baseline"/>
                <w:lang w:eastAsia="zh-CN"/>
              </w:rPr>
              <w:t>、GB 42295-2022《电动自行车电气安全要求及第1号修改单</w:t>
            </w:r>
            <w:r>
              <w:rPr>
                <w:rFonts w:hint="eastAsia" w:ascii="仿宋" w:hAnsi="仿宋" w:eastAsia="仿宋" w:cs="仿宋"/>
                <w:sz w:val="24"/>
                <w:szCs w:val="24"/>
                <w:highlight w:val="none"/>
                <w:vertAlign w:val="baseline"/>
                <w:lang w:eastAsia="zh-CN"/>
              </w:rPr>
              <w:t>》</w:t>
            </w:r>
          </w:p>
        </w:tc>
        <w:tc>
          <w:tcPr>
            <w:tcW w:w="1088" w:type="dxa"/>
            <w:tcMar>
              <w:top w:w="-1" w:type="dxa"/>
              <w:left w:w="-1" w:type="dxa"/>
              <w:bottom w:w="-1" w:type="dxa"/>
              <w:right w:w="-1" w:type="dxa"/>
            </w:tcMar>
            <w:vAlign w:val="center"/>
          </w:tcPr>
          <w:p w14:paraId="023AED0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8</w:t>
            </w:r>
          </w:p>
        </w:tc>
        <w:tc>
          <w:tcPr>
            <w:tcW w:w="1186" w:type="dxa"/>
            <w:tcMar>
              <w:top w:w="-1" w:type="dxa"/>
              <w:left w:w="-1" w:type="dxa"/>
              <w:bottom w:w="-1" w:type="dxa"/>
              <w:right w:w="-1" w:type="dxa"/>
            </w:tcMar>
            <w:vAlign w:val="center"/>
          </w:tcPr>
          <w:p w14:paraId="681EE92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1380</w:t>
            </w:r>
          </w:p>
        </w:tc>
        <w:tc>
          <w:tcPr>
            <w:tcW w:w="1186" w:type="dxa"/>
            <w:tcMar>
              <w:top w:w="-1" w:type="dxa"/>
              <w:left w:w="-1" w:type="dxa"/>
              <w:bottom w:w="-1" w:type="dxa"/>
              <w:right w:w="-1" w:type="dxa"/>
            </w:tcMar>
            <w:vAlign w:val="center"/>
          </w:tcPr>
          <w:p w14:paraId="0792447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11040‬</w:t>
            </w:r>
          </w:p>
        </w:tc>
      </w:tr>
      <w:tr w14:paraId="576A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15B01D6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4</w:t>
            </w:r>
          </w:p>
        </w:tc>
        <w:tc>
          <w:tcPr>
            <w:tcW w:w="1331" w:type="dxa"/>
            <w:tcMar>
              <w:top w:w="-1" w:type="dxa"/>
              <w:left w:w="-1" w:type="dxa"/>
              <w:bottom w:w="-1" w:type="dxa"/>
              <w:right w:w="-1" w:type="dxa"/>
            </w:tcMar>
            <w:vAlign w:val="center"/>
          </w:tcPr>
          <w:p w14:paraId="53090D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电动自行车用充电器</w:t>
            </w:r>
          </w:p>
        </w:tc>
        <w:tc>
          <w:tcPr>
            <w:tcW w:w="3074" w:type="dxa"/>
            <w:tcMar>
              <w:top w:w="-1" w:type="dxa"/>
              <w:left w:w="-1" w:type="dxa"/>
              <w:bottom w:w="-1" w:type="dxa"/>
              <w:right w:w="-1" w:type="dxa"/>
            </w:tcMar>
            <w:vAlign w:val="center"/>
          </w:tcPr>
          <w:p w14:paraId="4DF0809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外壳冲击</w:t>
            </w:r>
          </w:p>
          <w:p w14:paraId="7BE62F0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跌落</w:t>
            </w:r>
          </w:p>
          <w:p w14:paraId="69AC148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工作温度下的泄漏电流</w:t>
            </w:r>
          </w:p>
          <w:p w14:paraId="6A94803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电气强度</w:t>
            </w:r>
          </w:p>
          <w:p w14:paraId="3041FD2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防触电保护</w:t>
            </w:r>
          </w:p>
          <w:p w14:paraId="3F96F2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非正常工作</w:t>
            </w:r>
          </w:p>
          <w:p w14:paraId="6FD1E22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超温保护</w:t>
            </w:r>
          </w:p>
          <w:p w14:paraId="3D30AB7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过充切断</w:t>
            </w:r>
          </w:p>
          <w:p w14:paraId="7947279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耐热</w:t>
            </w:r>
          </w:p>
          <w:p w14:paraId="57AEBBF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灼热丝</w:t>
            </w:r>
          </w:p>
        </w:tc>
        <w:tc>
          <w:tcPr>
            <w:tcW w:w="2665" w:type="dxa"/>
            <w:tcMar>
              <w:top w:w="-1" w:type="dxa"/>
              <w:left w:w="-1" w:type="dxa"/>
              <w:bottom w:w="-1" w:type="dxa"/>
              <w:right w:w="-1" w:type="dxa"/>
            </w:tcMar>
            <w:vAlign w:val="center"/>
          </w:tcPr>
          <w:p w14:paraId="5204C43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GB 42296-2022《电动自行车用充电器安全技术要求》</w:t>
            </w:r>
          </w:p>
        </w:tc>
        <w:tc>
          <w:tcPr>
            <w:tcW w:w="1088" w:type="dxa"/>
            <w:vMerge w:val="restart"/>
            <w:tcMar>
              <w:top w:w="-1" w:type="dxa"/>
              <w:left w:w="-1" w:type="dxa"/>
              <w:bottom w:w="-1" w:type="dxa"/>
              <w:right w:w="-1" w:type="dxa"/>
            </w:tcMar>
            <w:vAlign w:val="center"/>
          </w:tcPr>
          <w:p w14:paraId="60FF2FC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5</w:t>
            </w:r>
          </w:p>
        </w:tc>
        <w:tc>
          <w:tcPr>
            <w:tcW w:w="1186" w:type="dxa"/>
            <w:vMerge w:val="restart"/>
            <w:tcMar>
              <w:top w:w="-1" w:type="dxa"/>
              <w:left w:w="-1" w:type="dxa"/>
              <w:bottom w:w="-1" w:type="dxa"/>
              <w:right w:w="-1" w:type="dxa"/>
            </w:tcMar>
            <w:vAlign w:val="center"/>
          </w:tcPr>
          <w:p w14:paraId="2AB00F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1000</w:t>
            </w:r>
          </w:p>
        </w:tc>
        <w:tc>
          <w:tcPr>
            <w:tcW w:w="1186" w:type="dxa"/>
            <w:vMerge w:val="restart"/>
            <w:tcMar>
              <w:top w:w="-1" w:type="dxa"/>
              <w:left w:w="-1" w:type="dxa"/>
              <w:bottom w:w="-1" w:type="dxa"/>
              <w:right w:w="-1" w:type="dxa"/>
            </w:tcMar>
            <w:vAlign w:val="center"/>
          </w:tcPr>
          <w:p w14:paraId="1CBEBA8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5000</w:t>
            </w:r>
          </w:p>
        </w:tc>
      </w:tr>
      <w:tr w14:paraId="25E0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2EA1603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5</w:t>
            </w:r>
          </w:p>
        </w:tc>
        <w:tc>
          <w:tcPr>
            <w:tcW w:w="1331" w:type="dxa"/>
            <w:tcMar>
              <w:top w:w="-1" w:type="dxa"/>
              <w:left w:w="-1" w:type="dxa"/>
              <w:bottom w:w="-1" w:type="dxa"/>
              <w:right w:w="-1" w:type="dxa"/>
            </w:tcMar>
            <w:vAlign w:val="center"/>
          </w:tcPr>
          <w:p w14:paraId="26D0545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rPr>
            </w:pPr>
            <w:r>
              <w:rPr>
                <w:rFonts w:hint="eastAsia" w:ascii="仿宋" w:hAnsi="仿宋" w:eastAsia="仿宋" w:cs="仿宋"/>
                <w:sz w:val="24"/>
                <w:szCs w:val="24"/>
                <w:highlight w:val="none"/>
                <w:vertAlign w:val="baseline"/>
                <w:lang w:val="en-US" w:eastAsia="zh-CN"/>
              </w:rPr>
              <w:t>电动自行车用蓄电池</w:t>
            </w:r>
          </w:p>
        </w:tc>
        <w:tc>
          <w:tcPr>
            <w:tcW w:w="3074" w:type="dxa"/>
            <w:tcMar>
              <w:top w:w="-1" w:type="dxa"/>
              <w:left w:w="-1" w:type="dxa"/>
              <w:bottom w:w="-1" w:type="dxa"/>
              <w:right w:w="-1" w:type="dxa"/>
            </w:tcMar>
            <w:vAlign w:val="center"/>
          </w:tcPr>
          <w:p w14:paraId="310C396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实际容量</w:t>
            </w:r>
          </w:p>
          <w:p w14:paraId="4CE15E4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大电流放电</w:t>
            </w:r>
          </w:p>
          <w:p w14:paraId="0F2F6F1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质量比能量</w:t>
            </w:r>
          </w:p>
          <w:p w14:paraId="23106D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快速充电能力</w:t>
            </w:r>
          </w:p>
          <w:p w14:paraId="60BC7C2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机械冲击</w:t>
            </w:r>
          </w:p>
          <w:p w14:paraId="6EAA7E6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rPr>
              <w:t>绝缘电阻</w:t>
            </w:r>
          </w:p>
        </w:tc>
        <w:tc>
          <w:tcPr>
            <w:tcW w:w="2665" w:type="dxa"/>
            <w:tcMar>
              <w:top w:w="-1" w:type="dxa"/>
              <w:left w:w="-1" w:type="dxa"/>
              <w:bottom w:w="-1" w:type="dxa"/>
              <w:right w:w="-1" w:type="dxa"/>
            </w:tcMar>
            <w:vAlign w:val="center"/>
          </w:tcPr>
          <w:p w14:paraId="567CBBC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GB/T 22199.1-2025《电动助力车用阀控式铅酸蓄电池》</w:t>
            </w:r>
          </w:p>
        </w:tc>
        <w:tc>
          <w:tcPr>
            <w:tcW w:w="1088" w:type="dxa"/>
            <w:vMerge w:val="continue"/>
            <w:tcMar>
              <w:top w:w="-1" w:type="dxa"/>
              <w:left w:w="-1" w:type="dxa"/>
              <w:bottom w:w="-1" w:type="dxa"/>
              <w:right w:w="-1" w:type="dxa"/>
            </w:tcMar>
            <w:vAlign w:val="center"/>
          </w:tcPr>
          <w:p w14:paraId="796AE6D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rPr>
            </w:pPr>
          </w:p>
        </w:tc>
        <w:tc>
          <w:tcPr>
            <w:tcW w:w="1186" w:type="dxa"/>
            <w:vMerge w:val="continue"/>
            <w:tcMar>
              <w:top w:w="-1" w:type="dxa"/>
              <w:left w:w="-1" w:type="dxa"/>
              <w:bottom w:w="-1" w:type="dxa"/>
              <w:right w:w="-1" w:type="dxa"/>
            </w:tcMar>
            <w:vAlign w:val="center"/>
          </w:tcPr>
          <w:p w14:paraId="28FF448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rPr>
            </w:pPr>
          </w:p>
        </w:tc>
        <w:tc>
          <w:tcPr>
            <w:tcW w:w="1186" w:type="dxa"/>
            <w:vMerge w:val="continue"/>
            <w:tcMar>
              <w:top w:w="-1" w:type="dxa"/>
              <w:left w:w="-1" w:type="dxa"/>
              <w:bottom w:w="-1" w:type="dxa"/>
              <w:right w:w="-1" w:type="dxa"/>
            </w:tcMar>
            <w:vAlign w:val="center"/>
          </w:tcPr>
          <w:p w14:paraId="0FE9A0C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rPr>
            </w:pPr>
          </w:p>
        </w:tc>
      </w:tr>
      <w:tr w14:paraId="5B50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07216B9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6</w:t>
            </w:r>
          </w:p>
        </w:tc>
        <w:tc>
          <w:tcPr>
            <w:tcW w:w="1331" w:type="dxa"/>
            <w:tcMar>
              <w:top w:w="-1" w:type="dxa"/>
              <w:left w:w="-1" w:type="dxa"/>
              <w:bottom w:w="-1" w:type="dxa"/>
              <w:right w:w="-1" w:type="dxa"/>
            </w:tcMar>
            <w:vAlign w:val="center"/>
          </w:tcPr>
          <w:p w14:paraId="38048D0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烟花爆竹</w:t>
            </w:r>
          </w:p>
        </w:tc>
        <w:tc>
          <w:tcPr>
            <w:tcW w:w="3074" w:type="dxa"/>
            <w:tcMar>
              <w:top w:w="-1" w:type="dxa"/>
              <w:left w:w="-1" w:type="dxa"/>
              <w:bottom w:w="-1" w:type="dxa"/>
              <w:right w:w="-1" w:type="dxa"/>
            </w:tcMar>
            <w:vAlign w:val="center"/>
          </w:tcPr>
          <w:p w14:paraId="343C3C5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标志</w:t>
            </w:r>
          </w:p>
          <w:p w14:paraId="235D7DD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包装</w:t>
            </w:r>
          </w:p>
          <w:p w14:paraId="5E2662C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外观</w:t>
            </w:r>
          </w:p>
          <w:p w14:paraId="5F03307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引燃装置</w:t>
            </w:r>
          </w:p>
          <w:p w14:paraId="5383B04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药量</w:t>
            </w:r>
          </w:p>
          <w:p w14:paraId="17EC42C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燃放性能</w:t>
            </w:r>
          </w:p>
        </w:tc>
        <w:tc>
          <w:tcPr>
            <w:tcW w:w="2665" w:type="dxa"/>
            <w:tcMar>
              <w:top w:w="-1" w:type="dxa"/>
              <w:left w:w="-1" w:type="dxa"/>
              <w:bottom w:w="-1" w:type="dxa"/>
              <w:right w:w="-1" w:type="dxa"/>
            </w:tcMar>
            <w:vAlign w:val="center"/>
          </w:tcPr>
          <w:p w14:paraId="7146D045">
            <w:pPr>
              <w:keepNext w:val="0"/>
              <w:keepLines w:val="0"/>
              <w:pageBreakBefore w:val="0"/>
              <w:widowControl w:val="0"/>
              <w:kinsoku/>
              <w:wordWrap/>
              <w:overflowPunct/>
              <w:topLinePunct w:val="0"/>
              <w:autoSpaceDE/>
              <w:autoSpaceDN/>
              <w:bidi w:val="0"/>
              <w:adjustRightInd/>
              <w:snapToGrid w:val="0"/>
              <w:spacing w:line="240" w:lineRule="auto"/>
              <w:ind w:right="0" w:rightChars="0"/>
              <w:jc w:val="left"/>
              <w:textAlignment w:val="auto"/>
              <w:rPr>
                <w:rFonts w:hint="eastAsia" w:ascii="仿宋" w:hAnsi="仿宋" w:eastAsia="仿宋" w:cs="仿宋"/>
                <w:color w:val="auto"/>
                <w:sz w:val="24"/>
                <w:szCs w:val="24"/>
                <w:highlight w:val="none"/>
                <w:vertAlign w:val="baseline"/>
                <w:lang w:eastAsia="zh-CN"/>
              </w:rPr>
            </w:pPr>
            <w:r>
              <w:rPr>
                <w:rFonts w:hint="eastAsia" w:ascii="仿宋" w:hAnsi="仿宋" w:eastAsia="仿宋" w:cs="仿宋"/>
                <w:color w:val="auto"/>
                <w:sz w:val="24"/>
                <w:szCs w:val="24"/>
                <w:highlight w:val="none"/>
                <w:vertAlign w:val="baseline"/>
              </w:rPr>
              <w:t>GB10631-2025</w:t>
            </w:r>
            <w:r>
              <w:rPr>
                <w:rFonts w:hint="eastAsia" w:ascii="仿宋" w:hAnsi="仿宋" w:eastAsia="仿宋" w:cs="仿宋"/>
                <w:color w:val="auto"/>
                <w:sz w:val="24"/>
                <w:szCs w:val="24"/>
                <w:highlight w:val="none"/>
                <w:vertAlign w:val="baseline"/>
                <w:lang w:eastAsia="zh-CN"/>
              </w:rPr>
              <w:t>《烟花爆竹 安全与质量》</w:t>
            </w:r>
          </w:p>
        </w:tc>
        <w:tc>
          <w:tcPr>
            <w:tcW w:w="1088" w:type="dxa"/>
            <w:tcMar>
              <w:top w:w="-1" w:type="dxa"/>
              <w:left w:w="-1" w:type="dxa"/>
              <w:bottom w:w="-1" w:type="dxa"/>
              <w:right w:w="-1" w:type="dxa"/>
            </w:tcMar>
            <w:vAlign w:val="center"/>
          </w:tcPr>
          <w:p w14:paraId="61D87D9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10</w:t>
            </w:r>
          </w:p>
        </w:tc>
        <w:tc>
          <w:tcPr>
            <w:tcW w:w="1186" w:type="dxa"/>
            <w:tcMar>
              <w:top w:w="-1" w:type="dxa"/>
              <w:left w:w="-1" w:type="dxa"/>
              <w:bottom w:w="-1" w:type="dxa"/>
              <w:right w:w="-1" w:type="dxa"/>
            </w:tcMar>
            <w:vAlign w:val="center"/>
          </w:tcPr>
          <w:p w14:paraId="420CBD0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1500</w:t>
            </w:r>
          </w:p>
        </w:tc>
        <w:tc>
          <w:tcPr>
            <w:tcW w:w="1186" w:type="dxa"/>
            <w:tcMar>
              <w:top w:w="-1" w:type="dxa"/>
              <w:left w:w="-1" w:type="dxa"/>
              <w:bottom w:w="-1" w:type="dxa"/>
              <w:right w:w="-1" w:type="dxa"/>
            </w:tcMar>
            <w:vAlign w:val="center"/>
          </w:tcPr>
          <w:p w14:paraId="288F894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15000</w:t>
            </w:r>
          </w:p>
        </w:tc>
      </w:tr>
      <w:tr w14:paraId="48D70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312DF7C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7</w:t>
            </w:r>
          </w:p>
        </w:tc>
        <w:tc>
          <w:tcPr>
            <w:tcW w:w="1331" w:type="dxa"/>
            <w:tcMar>
              <w:top w:w="-1" w:type="dxa"/>
              <w:left w:w="-1" w:type="dxa"/>
              <w:bottom w:w="-1" w:type="dxa"/>
              <w:right w:w="-1" w:type="dxa"/>
            </w:tcMar>
            <w:vAlign w:val="center"/>
          </w:tcPr>
          <w:p w14:paraId="6259441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食品接触用塑料包装膜、袋</w:t>
            </w:r>
          </w:p>
        </w:tc>
        <w:tc>
          <w:tcPr>
            <w:tcW w:w="3074" w:type="dxa"/>
            <w:tcMar>
              <w:top w:w="-1" w:type="dxa"/>
              <w:left w:w="-1" w:type="dxa"/>
              <w:bottom w:w="-1" w:type="dxa"/>
              <w:right w:w="-1" w:type="dxa"/>
            </w:tcMar>
            <w:vAlign w:val="center"/>
          </w:tcPr>
          <w:p w14:paraId="652DC20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感官要求</w:t>
            </w:r>
          </w:p>
          <w:p w14:paraId="7CA0CE7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总迁移量</w:t>
            </w:r>
          </w:p>
          <w:p w14:paraId="53E2A0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高锰酸钾消耗量</w:t>
            </w:r>
          </w:p>
          <w:p w14:paraId="71B3A0A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重金属(以Pb计)</w:t>
            </w:r>
          </w:p>
          <w:p w14:paraId="423C162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脱色试验</w:t>
            </w:r>
          </w:p>
          <w:p w14:paraId="5F50AFC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芳香族伯胺迁移总量</w:t>
            </w:r>
          </w:p>
        </w:tc>
        <w:tc>
          <w:tcPr>
            <w:tcW w:w="2665" w:type="dxa"/>
            <w:tcMar>
              <w:top w:w="-1" w:type="dxa"/>
              <w:left w:w="-1" w:type="dxa"/>
              <w:bottom w:w="-1" w:type="dxa"/>
              <w:right w:w="-1" w:type="dxa"/>
            </w:tcMar>
            <w:vAlign w:val="center"/>
          </w:tcPr>
          <w:p w14:paraId="461A6DA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rPr>
              <w:t>GB 4806.7-2023</w:t>
            </w:r>
            <w:r>
              <w:rPr>
                <w:rFonts w:hint="eastAsia" w:ascii="仿宋" w:hAnsi="仿宋" w:eastAsia="仿宋" w:cs="仿宋"/>
                <w:sz w:val="24"/>
                <w:szCs w:val="24"/>
                <w:highlight w:val="none"/>
                <w:vertAlign w:val="baseline"/>
                <w:lang w:val="en-US" w:eastAsia="zh-CN"/>
              </w:rPr>
              <w:t>《食品安全国家标准 食品接触用塑料材料及制品》</w:t>
            </w:r>
          </w:p>
        </w:tc>
        <w:tc>
          <w:tcPr>
            <w:tcW w:w="1088" w:type="dxa"/>
            <w:tcMar>
              <w:top w:w="-1" w:type="dxa"/>
              <w:left w:w="-1" w:type="dxa"/>
              <w:bottom w:w="-1" w:type="dxa"/>
              <w:right w:w="-1" w:type="dxa"/>
            </w:tcMar>
            <w:vAlign w:val="center"/>
          </w:tcPr>
          <w:p w14:paraId="04E7EA6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10</w:t>
            </w:r>
          </w:p>
        </w:tc>
        <w:tc>
          <w:tcPr>
            <w:tcW w:w="1186" w:type="dxa"/>
            <w:tcMar>
              <w:top w:w="-1" w:type="dxa"/>
              <w:left w:w="-1" w:type="dxa"/>
              <w:bottom w:w="-1" w:type="dxa"/>
              <w:right w:w="-1" w:type="dxa"/>
            </w:tcMar>
            <w:vAlign w:val="center"/>
          </w:tcPr>
          <w:p w14:paraId="4E89454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800</w:t>
            </w:r>
          </w:p>
        </w:tc>
        <w:tc>
          <w:tcPr>
            <w:tcW w:w="1186" w:type="dxa"/>
            <w:tcMar>
              <w:top w:w="-1" w:type="dxa"/>
              <w:left w:w="-1" w:type="dxa"/>
              <w:bottom w:w="-1" w:type="dxa"/>
              <w:right w:w="-1" w:type="dxa"/>
            </w:tcMar>
            <w:vAlign w:val="center"/>
          </w:tcPr>
          <w:p w14:paraId="74F65F9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8000‬</w:t>
            </w:r>
          </w:p>
        </w:tc>
      </w:tr>
      <w:tr w14:paraId="2856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6" w:type="dxa"/>
            <w:tcMar>
              <w:top w:w="-1" w:type="dxa"/>
              <w:left w:w="-1" w:type="dxa"/>
              <w:bottom w:w="-1" w:type="dxa"/>
              <w:right w:w="-1" w:type="dxa"/>
            </w:tcMar>
            <w:vAlign w:val="center"/>
          </w:tcPr>
          <w:p w14:paraId="5408566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8</w:t>
            </w:r>
          </w:p>
        </w:tc>
        <w:tc>
          <w:tcPr>
            <w:tcW w:w="1331" w:type="dxa"/>
            <w:tcMar>
              <w:top w:w="-1" w:type="dxa"/>
              <w:left w:w="-1" w:type="dxa"/>
              <w:bottom w:w="-1" w:type="dxa"/>
              <w:right w:w="-1" w:type="dxa"/>
            </w:tcMar>
            <w:vAlign w:val="center"/>
          </w:tcPr>
          <w:p w14:paraId="4F739FA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餐用洗涤剂</w:t>
            </w:r>
          </w:p>
        </w:tc>
        <w:tc>
          <w:tcPr>
            <w:tcW w:w="3074" w:type="dxa"/>
            <w:tcMar>
              <w:top w:w="-1" w:type="dxa"/>
              <w:left w:w="-1" w:type="dxa"/>
              <w:bottom w:w="-1" w:type="dxa"/>
              <w:right w:w="-1" w:type="dxa"/>
            </w:tcMar>
            <w:vAlign w:val="center"/>
          </w:tcPr>
          <w:p w14:paraId="649776E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外观</w:t>
            </w:r>
          </w:p>
          <w:p w14:paraId="18349A5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气味</w:t>
            </w:r>
          </w:p>
          <w:p w14:paraId="730F00A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稳定性</w:t>
            </w:r>
          </w:p>
          <w:p w14:paraId="27C3E51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总有效物含量</w:t>
            </w:r>
          </w:p>
          <w:p w14:paraId="61AB159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pH</w:t>
            </w:r>
          </w:p>
          <w:p w14:paraId="39B3713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重金属（以Pb计）</w:t>
            </w:r>
          </w:p>
          <w:p w14:paraId="471A2AF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菌落总数</w:t>
            </w:r>
          </w:p>
          <w:p w14:paraId="0959B0D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大肠菌群</w:t>
            </w:r>
          </w:p>
        </w:tc>
        <w:tc>
          <w:tcPr>
            <w:tcW w:w="2665" w:type="dxa"/>
            <w:tcMar>
              <w:top w:w="-1" w:type="dxa"/>
              <w:left w:w="-1" w:type="dxa"/>
              <w:bottom w:w="-1" w:type="dxa"/>
              <w:right w:w="-1" w:type="dxa"/>
            </w:tcMar>
            <w:vAlign w:val="center"/>
          </w:tcPr>
          <w:p w14:paraId="5243AC2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vertAlign w:val="baseline"/>
                <w:lang w:val="en-US"/>
              </w:rPr>
            </w:pPr>
            <w:r>
              <w:rPr>
                <w:rFonts w:hint="eastAsia" w:ascii="仿宋" w:hAnsi="仿宋" w:eastAsia="仿宋" w:cs="仿宋"/>
                <w:sz w:val="24"/>
                <w:szCs w:val="24"/>
                <w:highlight w:val="none"/>
                <w:vertAlign w:val="baseline"/>
              </w:rPr>
              <w:t>GB 14930.1-2022</w:t>
            </w:r>
            <w:r>
              <w:rPr>
                <w:rFonts w:hint="eastAsia" w:ascii="仿宋" w:hAnsi="仿宋" w:eastAsia="仿宋" w:cs="仿宋"/>
                <w:sz w:val="24"/>
                <w:szCs w:val="24"/>
                <w:highlight w:val="none"/>
                <w:vertAlign w:val="baseline"/>
                <w:lang w:val="en-US" w:eastAsia="zh-CN"/>
              </w:rPr>
              <w:t>《食品安全国家标准 洗涤剂》</w:t>
            </w:r>
            <w:r>
              <w:rPr>
                <w:rFonts w:hint="eastAsia" w:ascii="仿宋" w:hAnsi="仿宋" w:eastAsia="仿宋" w:cs="仿宋"/>
                <w:color w:val="auto"/>
                <w:sz w:val="24"/>
                <w:szCs w:val="24"/>
                <w:highlight w:val="none"/>
                <w:vertAlign w:val="baseline"/>
                <w:lang w:val="en-US"/>
              </w:rPr>
              <w:t>GB/T 9985-2022《手洗餐具用洗涤剂》</w:t>
            </w:r>
          </w:p>
        </w:tc>
        <w:tc>
          <w:tcPr>
            <w:tcW w:w="1088" w:type="dxa"/>
            <w:tcMar>
              <w:top w:w="-1" w:type="dxa"/>
              <w:left w:w="-1" w:type="dxa"/>
              <w:bottom w:w="-1" w:type="dxa"/>
              <w:right w:w="-1" w:type="dxa"/>
            </w:tcMar>
            <w:vAlign w:val="center"/>
          </w:tcPr>
          <w:p w14:paraId="72E1127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5</w:t>
            </w:r>
          </w:p>
        </w:tc>
        <w:tc>
          <w:tcPr>
            <w:tcW w:w="1186" w:type="dxa"/>
            <w:tcMar>
              <w:top w:w="-1" w:type="dxa"/>
              <w:left w:w="-1" w:type="dxa"/>
              <w:bottom w:w="-1" w:type="dxa"/>
              <w:right w:w="-1" w:type="dxa"/>
            </w:tcMar>
            <w:vAlign w:val="center"/>
          </w:tcPr>
          <w:p w14:paraId="45682AB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800</w:t>
            </w:r>
          </w:p>
        </w:tc>
        <w:tc>
          <w:tcPr>
            <w:tcW w:w="1186" w:type="dxa"/>
            <w:tcMar>
              <w:top w:w="-1" w:type="dxa"/>
              <w:left w:w="-1" w:type="dxa"/>
              <w:bottom w:w="-1" w:type="dxa"/>
              <w:right w:w="-1" w:type="dxa"/>
            </w:tcMar>
            <w:vAlign w:val="center"/>
          </w:tcPr>
          <w:p w14:paraId="4E0947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4000</w:t>
            </w:r>
          </w:p>
        </w:tc>
      </w:tr>
      <w:tr w14:paraId="74A1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06" w:type="dxa"/>
            <w:gridSpan w:val="4"/>
            <w:tcMar>
              <w:top w:w="-1" w:type="dxa"/>
              <w:left w:w="-1" w:type="dxa"/>
              <w:bottom w:w="-1" w:type="dxa"/>
              <w:right w:w="-1" w:type="dxa"/>
            </w:tcMar>
            <w:vAlign w:val="center"/>
          </w:tcPr>
          <w:p w14:paraId="5329D00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rPr>
            </w:pPr>
            <w:r>
              <w:rPr>
                <w:rFonts w:hint="eastAsia" w:ascii="仿宋" w:hAnsi="仿宋" w:eastAsia="仿宋" w:cs="仿宋"/>
                <w:b/>
                <w:sz w:val="24"/>
                <w:szCs w:val="24"/>
                <w:highlight w:val="none"/>
                <w:vertAlign w:val="baseline"/>
                <w:lang w:val="en-US" w:eastAsia="zh-CN"/>
              </w:rPr>
              <w:t>总计</w:t>
            </w:r>
          </w:p>
        </w:tc>
        <w:tc>
          <w:tcPr>
            <w:tcW w:w="1088" w:type="dxa"/>
            <w:tcMar>
              <w:top w:w="-1" w:type="dxa"/>
              <w:left w:w="-1" w:type="dxa"/>
              <w:bottom w:w="-1" w:type="dxa"/>
              <w:right w:w="-1" w:type="dxa"/>
            </w:tcMar>
            <w:vAlign w:val="center"/>
          </w:tcPr>
          <w:p w14:paraId="0E180B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68</w:t>
            </w:r>
          </w:p>
        </w:tc>
        <w:tc>
          <w:tcPr>
            <w:tcW w:w="1186" w:type="dxa"/>
            <w:tcMar>
              <w:top w:w="-1" w:type="dxa"/>
              <w:left w:w="-1" w:type="dxa"/>
              <w:bottom w:w="-1" w:type="dxa"/>
              <w:right w:w="-1" w:type="dxa"/>
            </w:tcMar>
            <w:vAlign w:val="center"/>
          </w:tcPr>
          <w:p w14:paraId="593C8AC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w:t>
            </w:r>
          </w:p>
        </w:tc>
        <w:tc>
          <w:tcPr>
            <w:tcW w:w="1186" w:type="dxa"/>
            <w:tcMar>
              <w:top w:w="-1" w:type="dxa"/>
              <w:left w:w="-1" w:type="dxa"/>
              <w:bottom w:w="-1" w:type="dxa"/>
              <w:right w:w="-1" w:type="dxa"/>
            </w:tcMar>
            <w:vAlign w:val="center"/>
          </w:tcPr>
          <w:p w14:paraId="03CA73E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vertAlign w:val="baseline"/>
                <w:lang w:val="en-US" w:eastAsia="zh-CN"/>
              </w:rPr>
            </w:pPr>
            <w:r>
              <w:rPr>
                <w:rFonts w:hint="eastAsia" w:ascii="仿宋" w:hAnsi="仿宋" w:eastAsia="仿宋" w:cs="仿宋"/>
                <w:b/>
                <w:sz w:val="24"/>
                <w:szCs w:val="24"/>
                <w:highlight w:val="none"/>
                <w:vertAlign w:val="baseline"/>
                <w:lang w:val="en-US" w:eastAsia="zh-CN"/>
              </w:rPr>
              <w:t>73290</w:t>
            </w:r>
          </w:p>
        </w:tc>
      </w:tr>
    </w:tbl>
    <w:p w14:paraId="185F5001">
      <w:pPr>
        <w:pStyle w:val="23"/>
        <w:numPr>
          <w:ilvl w:val="0"/>
          <w:numId w:val="0"/>
        </w:numPr>
        <w:jc w:val="left"/>
        <w:rPr>
          <w:rFonts w:hint="eastAsia"/>
          <w:lang w:eastAsia="zh-CN"/>
        </w:rPr>
      </w:pPr>
      <w:r>
        <w:rPr>
          <w:rFonts w:hint="eastAsia" w:ascii="黑体" w:hAnsi="黑体" w:eastAsia="黑体"/>
          <w:lang w:eastAsia="zh-CN"/>
        </w:rPr>
        <w:t>五、进度要求</w:t>
      </w:r>
    </w:p>
    <w:p w14:paraId="64951A98">
      <w:pPr>
        <w:rPr>
          <w:rFonts w:hint="eastAsia"/>
          <w:lang w:eastAsia="zh-CN"/>
        </w:rPr>
      </w:pPr>
    </w:p>
    <w:tbl>
      <w:tblPr>
        <w:tblStyle w:val="27"/>
        <w:tblW w:w="9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8"/>
        <w:gridCol w:w="2776"/>
        <w:gridCol w:w="2828"/>
      </w:tblGrid>
      <w:tr w14:paraId="1FD9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tcPr>
          <w:p w14:paraId="66B8FA92">
            <w:pPr>
              <w:keepNext w:val="0"/>
              <w:keepLines w:val="0"/>
              <w:numPr>
                <w:ilvl w:val="0"/>
                <w:numId w:val="0"/>
              </w:numPr>
              <w:suppressLineNumbers w:val="0"/>
              <w:spacing w:before="0" w:beforeAutospacing="0" w:after="0" w:afterAutospacing="0"/>
              <w:ind w:left="0" w:right="0"/>
              <w:jc w:val="center"/>
              <w:rPr>
                <w:rFonts w:hint="eastAsia"/>
                <w:vertAlign w:val="baseline"/>
                <w:lang w:eastAsia="zh-CN"/>
              </w:rPr>
            </w:pPr>
            <w:r>
              <w:rPr>
                <w:rFonts w:hint="eastAsia" w:ascii="仿宋" w:hAnsi="仿宋" w:eastAsia="仿宋" w:cs="仿宋"/>
                <w:color w:val="auto"/>
                <w:kern w:val="2"/>
                <w:sz w:val="28"/>
                <w:szCs w:val="28"/>
                <w:lang w:val="en-US" w:eastAsia="zh-CN" w:bidi="ar-SA"/>
              </w:rPr>
              <w:t>工作过程</w:t>
            </w:r>
          </w:p>
        </w:tc>
        <w:tc>
          <w:tcPr>
            <w:tcW w:w="5604" w:type="dxa"/>
            <w:gridSpan w:val="2"/>
          </w:tcPr>
          <w:p w14:paraId="2BF58E39">
            <w:pPr>
              <w:keepNext w:val="0"/>
              <w:keepLines w:val="0"/>
              <w:numPr>
                <w:ilvl w:val="0"/>
                <w:numId w:val="0"/>
              </w:numPr>
              <w:suppressLineNumbers w:val="0"/>
              <w:spacing w:before="0" w:beforeAutospacing="0" w:after="0" w:afterAutospacing="0"/>
              <w:ind w:left="0" w:right="0"/>
              <w:jc w:val="center"/>
              <w:rPr>
                <w:rFonts w:hint="eastAsia"/>
                <w:vertAlign w:val="baseline"/>
                <w:lang w:eastAsia="zh-CN"/>
              </w:rPr>
            </w:pPr>
            <w:r>
              <w:rPr>
                <w:rFonts w:hint="eastAsia" w:ascii="仿宋" w:hAnsi="仿宋" w:eastAsia="仿宋" w:cs="仿宋"/>
                <w:color w:val="auto"/>
                <w:kern w:val="2"/>
                <w:sz w:val="28"/>
                <w:szCs w:val="28"/>
                <w:lang w:val="en-US" w:eastAsia="zh-CN" w:bidi="ar-SA"/>
              </w:rPr>
              <w:t>分工和进度要求</w:t>
            </w:r>
          </w:p>
        </w:tc>
      </w:tr>
      <w:tr w14:paraId="524F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Merge w:val="restart"/>
          </w:tcPr>
          <w:p w14:paraId="4D7BE095">
            <w:pPr>
              <w:keepNext w:val="0"/>
              <w:keepLines w:val="0"/>
              <w:numPr>
                <w:ilvl w:val="0"/>
                <w:numId w:val="0"/>
              </w:numPr>
              <w:suppressLineNumbers w:val="0"/>
              <w:spacing w:before="0" w:beforeAutospacing="0" w:after="0" w:afterAutospacing="0"/>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组织、承检机构</w:t>
            </w:r>
          </w:p>
        </w:tc>
        <w:tc>
          <w:tcPr>
            <w:tcW w:w="2776" w:type="dxa"/>
            <w:vAlign w:val="center"/>
          </w:tcPr>
          <w:p w14:paraId="679738F6">
            <w:pPr>
              <w:keepNext w:val="0"/>
              <w:keepLines w:val="0"/>
              <w:suppressLineNumbers w:val="0"/>
              <w:spacing w:before="0" w:beforeAutospacing="0" w:after="0" w:afterAutospacing="0" w:line="440" w:lineRule="exact"/>
              <w:ind w:left="0" w:right="0"/>
              <w:jc w:val="center"/>
              <w:rPr>
                <w:rFonts w:hint="eastAsia"/>
                <w:vertAlign w:val="baseline"/>
                <w:lang w:eastAsia="zh-CN"/>
              </w:rPr>
            </w:pPr>
            <w:r>
              <w:rPr>
                <w:rFonts w:hint="eastAsia" w:ascii="仿宋" w:hAnsi="仿宋" w:eastAsia="仿宋" w:cs="仿宋"/>
                <w:color w:val="auto"/>
                <w:kern w:val="2"/>
                <w:sz w:val="28"/>
                <w:szCs w:val="28"/>
                <w:lang w:val="en-US" w:eastAsia="zh-CN" w:bidi="ar-SA"/>
              </w:rPr>
              <w:t>组织单位</w:t>
            </w:r>
          </w:p>
        </w:tc>
        <w:tc>
          <w:tcPr>
            <w:tcW w:w="2828" w:type="dxa"/>
            <w:vAlign w:val="center"/>
          </w:tcPr>
          <w:p w14:paraId="417B26D8">
            <w:pPr>
              <w:keepNext w:val="0"/>
              <w:keepLines w:val="0"/>
              <w:suppressLineNumbers w:val="0"/>
              <w:spacing w:before="0" w:beforeAutospacing="0" w:after="0" w:afterAutospacing="0" w:line="440" w:lineRule="exact"/>
              <w:ind w:left="0" w:right="0"/>
              <w:jc w:val="center"/>
              <w:rPr>
                <w:rFonts w:hint="eastAsia"/>
                <w:vertAlign w:val="baseline"/>
                <w:lang w:eastAsia="zh-CN"/>
              </w:rPr>
            </w:pPr>
            <w:r>
              <w:rPr>
                <w:rFonts w:hint="eastAsia" w:ascii="仿宋" w:hAnsi="仿宋" w:eastAsia="仿宋" w:cs="仿宋"/>
                <w:color w:val="auto"/>
                <w:kern w:val="2"/>
                <w:sz w:val="28"/>
                <w:szCs w:val="28"/>
                <w:lang w:val="en-US" w:eastAsia="zh-CN" w:bidi="ar-SA"/>
              </w:rPr>
              <w:t>承检单位</w:t>
            </w:r>
          </w:p>
        </w:tc>
      </w:tr>
      <w:tr w14:paraId="7223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Merge w:val="continue"/>
          </w:tcPr>
          <w:p w14:paraId="0A3F61EB">
            <w:pPr>
              <w:keepNext w:val="0"/>
              <w:keepLines w:val="0"/>
              <w:numPr>
                <w:ilvl w:val="0"/>
                <w:numId w:val="0"/>
              </w:numPr>
              <w:suppressLineNumbers w:val="0"/>
              <w:spacing w:before="0" w:beforeAutospacing="0" w:after="0" w:afterAutospacing="0"/>
              <w:ind w:left="0" w:right="0"/>
              <w:rPr>
                <w:rFonts w:hint="eastAsia"/>
                <w:vertAlign w:val="baseline"/>
                <w:lang w:eastAsia="zh-CN"/>
              </w:rPr>
            </w:pPr>
          </w:p>
        </w:tc>
        <w:tc>
          <w:tcPr>
            <w:tcW w:w="2776" w:type="dxa"/>
            <w:vAlign w:val="center"/>
          </w:tcPr>
          <w:p w14:paraId="1AC32EB4">
            <w:pPr>
              <w:keepNext w:val="0"/>
              <w:keepLines w:val="0"/>
              <w:suppressLineNumbers w:val="0"/>
              <w:spacing w:before="0" w:beforeAutospacing="0" w:after="0" w:afterAutospacing="0" w:line="440" w:lineRule="exact"/>
              <w:ind w:left="0" w:right="0"/>
              <w:jc w:val="center"/>
              <w:rPr>
                <w:rFonts w:hint="eastAsia"/>
                <w:vertAlign w:val="baseline"/>
                <w:lang w:eastAsia="zh-CN"/>
              </w:rPr>
            </w:pPr>
            <w:r>
              <w:rPr>
                <w:rFonts w:hint="eastAsia" w:ascii="仿宋" w:hAnsi="仿宋" w:eastAsia="仿宋" w:cs="仿宋"/>
                <w:color w:val="auto"/>
                <w:kern w:val="2"/>
                <w:sz w:val="28"/>
                <w:szCs w:val="28"/>
                <w:lang w:val="en-US" w:eastAsia="zh-CN" w:bidi="ar-SA"/>
              </w:rPr>
              <w:t>巴彦淖尔市市场监督管理局</w:t>
            </w:r>
          </w:p>
        </w:tc>
        <w:tc>
          <w:tcPr>
            <w:tcW w:w="2828" w:type="dxa"/>
            <w:vAlign w:val="center"/>
          </w:tcPr>
          <w:p w14:paraId="3A00C072">
            <w:pPr>
              <w:keepNext w:val="0"/>
              <w:keepLines w:val="0"/>
              <w:suppressLineNumbers w:val="0"/>
              <w:spacing w:before="0" w:beforeAutospacing="0" w:after="0" w:afterAutospacing="0" w:line="440" w:lineRule="exact"/>
              <w:ind w:left="0" w:right="0"/>
              <w:jc w:val="center"/>
              <w:rPr>
                <w:rFonts w:hint="eastAsia"/>
                <w:vertAlign w:val="baseline"/>
                <w:lang w:eastAsia="zh-CN"/>
              </w:rPr>
            </w:pPr>
            <w:r>
              <w:rPr>
                <w:rFonts w:hint="eastAsia" w:ascii="仿宋" w:hAnsi="仿宋" w:eastAsia="仿宋" w:cs="仿宋"/>
                <w:color w:val="auto"/>
                <w:kern w:val="2"/>
                <w:sz w:val="28"/>
                <w:szCs w:val="28"/>
                <w:lang w:val="en-US" w:eastAsia="zh-CN" w:bidi="ar-SA"/>
              </w:rPr>
              <w:t>山东精准产品质量检测有限公司</w:t>
            </w:r>
          </w:p>
        </w:tc>
      </w:tr>
      <w:tr w14:paraId="3358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Align w:val="center"/>
          </w:tcPr>
          <w:p w14:paraId="25A46DD4">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抽样人员名单表报送</w:t>
            </w:r>
          </w:p>
        </w:tc>
        <w:tc>
          <w:tcPr>
            <w:tcW w:w="5604" w:type="dxa"/>
            <w:gridSpan w:val="2"/>
            <w:vAlign w:val="center"/>
          </w:tcPr>
          <w:p w14:paraId="18B04FE0">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任务部署后5日内</w:t>
            </w:r>
          </w:p>
        </w:tc>
      </w:tr>
      <w:tr w14:paraId="3518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Align w:val="center"/>
          </w:tcPr>
          <w:p w14:paraId="22592242">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样品抽取时间</w:t>
            </w:r>
          </w:p>
        </w:tc>
        <w:tc>
          <w:tcPr>
            <w:tcW w:w="5604" w:type="dxa"/>
            <w:gridSpan w:val="2"/>
            <w:vAlign w:val="center"/>
          </w:tcPr>
          <w:p w14:paraId="433150E9">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具体时间以部署文件为准</w:t>
            </w:r>
          </w:p>
        </w:tc>
      </w:tr>
      <w:tr w14:paraId="0C6A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Align w:val="center"/>
          </w:tcPr>
          <w:p w14:paraId="35B0E895">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样品检验时间</w:t>
            </w:r>
          </w:p>
        </w:tc>
        <w:tc>
          <w:tcPr>
            <w:tcW w:w="5604" w:type="dxa"/>
            <w:gridSpan w:val="2"/>
            <w:vAlign w:val="center"/>
          </w:tcPr>
          <w:p w14:paraId="47D82C24">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任务部署后的1个整体抽检工作完成周期内</w:t>
            </w:r>
          </w:p>
        </w:tc>
      </w:tr>
      <w:tr w14:paraId="6B73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Align w:val="center"/>
          </w:tcPr>
          <w:p w14:paraId="1A48642D">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检验报告及结果通知发放</w:t>
            </w:r>
          </w:p>
        </w:tc>
        <w:tc>
          <w:tcPr>
            <w:tcW w:w="5604" w:type="dxa"/>
            <w:gridSpan w:val="2"/>
            <w:vAlign w:val="center"/>
          </w:tcPr>
          <w:p w14:paraId="23E7F86E">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检验工作完成5日内</w:t>
            </w:r>
          </w:p>
        </w:tc>
      </w:tr>
      <w:tr w14:paraId="4736B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8" w:type="dxa"/>
            <w:vAlign w:val="center"/>
          </w:tcPr>
          <w:p w14:paraId="5BE70C59">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承检单位提供资料</w:t>
            </w:r>
          </w:p>
        </w:tc>
        <w:tc>
          <w:tcPr>
            <w:tcW w:w="5604" w:type="dxa"/>
            <w:gridSpan w:val="2"/>
            <w:vAlign w:val="center"/>
          </w:tcPr>
          <w:p w14:paraId="0217FF48">
            <w:pPr>
              <w:keepNext w:val="0"/>
              <w:keepLines w:val="0"/>
              <w:suppressLineNumbers w:val="0"/>
              <w:spacing w:before="0" w:beforeAutospacing="0" w:after="0" w:afterAutospacing="0" w:line="440" w:lineRule="exact"/>
              <w:ind w:left="0" w:right="0"/>
              <w:rPr>
                <w:rFonts w:hint="eastAsia"/>
                <w:vertAlign w:val="baseline"/>
                <w:lang w:eastAsia="zh-CN"/>
              </w:rPr>
            </w:pPr>
            <w:r>
              <w:rPr>
                <w:rFonts w:hint="eastAsia" w:ascii="仿宋" w:hAnsi="仿宋" w:eastAsia="仿宋" w:cs="仿宋"/>
                <w:color w:val="auto"/>
                <w:kern w:val="2"/>
                <w:sz w:val="28"/>
                <w:szCs w:val="28"/>
                <w:lang w:val="en-US" w:eastAsia="zh-CN" w:bidi="ar-SA"/>
              </w:rPr>
              <w:t>检验工作完成10日内</w:t>
            </w:r>
          </w:p>
        </w:tc>
      </w:tr>
    </w:tbl>
    <w:p w14:paraId="4C0D173D">
      <w:pPr>
        <w:numPr>
          <w:ilvl w:val="0"/>
          <w:numId w:val="0"/>
        </w:numPr>
        <w:rPr>
          <w:rFonts w:hint="eastAsia"/>
          <w:lang w:eastAsia="zh-CN"/>
        </w:rPr>
      </w:pPr>
    </w:p>
    <w:p w14:paraId="129D3836">
      <w:pPr>
        <w:pStyle w:val="23"/>
        <w:numPr>
          <w:ilvl w:val="0"/>
          <w:numId w:val="0"/>
        </w:numPr>
        <w:jc w:val="left"/>
        <w:rPr>
          <w:rFonts w:hint="eastAsia" w:ascii="黑体" w:hAnsi="黑体" w:eastAsia="黑体"/>
          <w:lang w:eastAsia="zh-CN"/>
        </w:rPr>
      </w:pPr>
      <w:r>
        <w:rPr>
          <w:rFonts w:hint="eastAsia" w:ascii="黑体" w:hAnsi="黑体" w:eastAsia="黑体"/>
          <w:lang w:eastAsia="zh-CN"/>
        </w:rPr>
        <w:t>六、工作分工</w:t>
      </w:r>
    </w:p>
    <w:p w14:paraId="3F87FE25">
      <w:pPr>
        <w:pStyle w:val="41"/>
        <w:numPr>
          <w:ilvl w:val="0"/>
          <w:numId w:val="0"/>
        </w:numPr>
        <w:ind w:leftChars="0"/>
        <w:rPr>
          <w:rFonts w:hint="eastAsia" w:ascii="仿宋" w:hAnsi="仿宋" w:eastAsia="仿宋" w:cs="仿宋"/>
          <w:color w:val="000000"/>
          <w:kern w:val="2"/>
          <w:sz w:val="32"/>
          <w:szCs w:val="32"/>
          <w:lang w:val="en-US" w:eastAsia="zh-CN" w:bidi="ar-SA"/>
        </w:rPr>
      </w:pPr>
      <w:r>
        <w:rPr>
          <w:rFonts w:hint="eastAsia" w:ascii="宋体" w:hAnsi="宋体" w:eastAsia="宋体" w:cs="宋体"/>
          <w:b/>
          <w:bCs/>
          <w:color w:val="auto"/>
          <w:sz w:val="32"/>
          <w:szCs w:val="32"/>
          <w:lang w:val="en-US" w:eastAsia="zh-CN"/>
        </w:rPr>
        <w:t xml:space="preserve"> </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000000"/>
          <w:kern w:val="2"/>
          <w:sz w:val="32"/>
          <w:szCs w:val="32"/>
          <w:lang w:val="en-US" w:eastAsia="zh-CN" w:bidi="ar-SA"/>
        </w:rPr>
        <w:t>组织单位：巴彦淖尔市市场监督管理局</w:t>
      </w:r>
    </w:p>
    <w:p w14:paraId="62F31CD6">
      <w:pPr>
        <w:pStyle w:val="41"/>
        <w:numPr>
          <w:ilvl w:val="0"/>
          <w:numId w:val="0"/>
        </w:numPr>
        <w:ind w:leftChars="0"/>
        <w:rPr>
          <w:rFonts w:hint="eastAsia" w:ascii="黑体" w:hAnsi="黑体" w:eastAsia="黑体" w:cs="黑体"/>
          <w:b/>
          <w:bCs/>
          <w:color w:val="auto"/>
          <w:sz w:val="32"/>
          <w:szCs w:val="32"/>
          <w:lang w:eastAsia="zh-CN"/>
        </w:rPr>
      </w:pPr>
      <w:r>
        <w:rPr>
          <w:rFonts w:hint="eastAsia" w:ascii="仿宋" w:hAnsi="仿宋" w:eastAsia="仿宋" w:cs="仿宋"/>
          <w:color w:val="000000"/>
          <w:kern w:val="2"/>
          <w:sz w:val="32"/>
          <w:szCs w:val="32"/>
          <w:lang w:val="en-US" w:eastAsia="zh-CN" w:bidi="ar-SA"/>
        </w:rPr>
        <w:t xml:space="preserve">  承检单位：山东精准产品质量检测有限公司</w:t>
      </w:r>
    </w:p>
    <w:p w14:paraId="6A0FDE17">
      <w:pPr>
        <w:topLinePunct/>
        <w:adjustRightInd w:val="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1、抽样</w:t>
      </w:r>
    </w:p>
    <w:p w14:paraId="06CC5412">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市场监督管理部门委托抽样机构抽样，并按照有关规定随机抽取被抽样生产者、销售者，随机选派抽样人员。</w:t>
      </w:r>
    </w:p>
    <w:p w14:paraId="49AFE7D2">
      <w:pPr>
        <w:pStyle w:val="31"/>
        <w:rPr>
          <w:rFonts w:hint="eastAsia"/>
          <w:lang w:val="en-US" w:eastAsia="zh-CN"/>
        </w:rPr>
      </w:pPr>
      <w:r>
        <w:rPr>
          <w:rFonts w:hint="eastAsia" w:ascii="仿宋" w:hAnsi="仿宋" w:eastAsia="仿宋"/>
          <w:color w:val="000000"/>
          <w:sz w:val="32"/>
          <w:szCs w:val="32"/>
          <w:lang w:val="en-US" w:eastAsia="zh-CN"/>
        </w:rPr>
        <w:t>实行抽检分离制度。除现场检验外，抽样人员不得承担其抽样产品的检验工作。</w:t>
      </w:r>
    </w:p>
    <w:p w14:paraId="4C097DF4">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抽样人员应当熟悉相关法律、行政法规、部门规章以及标准等规定。</w:t>
      </w:r>
    </w:p>
    <w:p w14:paraId="45EDF244">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抽样人员不得少于两人，并向被抽样生产者、销售者出示组织监督抽查的市场监督管理部门出具的监督抽查通知书、抽样人员身份证明。抽样机构执行抽样任务的，还应当出示组织监督抽查的市场监督管理部门出具的授权委托书复印件。</w:t>
      </w:r>
    </w:p>
    <w:p w14:paraId="05743DA0">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抽样人员应当告知被抽样生产者、销售者抽查产品范围、抽样方法等。</w:t>
      </w:r>
    </w:p>
    <w:p w14:paraId="5693056F">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样品应当由抽样人员在被抽样生产者、销售者的待销产品中随机抽取，不得由被抽样生产者、销售者自行抽样。</w:t>
      </w:r>
    </w:p>
    <w:p w14:paraId="0FF6F60C">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抽样人员发现被抽样生产者、销售者涉嫌存在无证无照等无需检验即可判定违法的情形的，应当终止抽样，立即报告组织监督抽查的市场监督管理部门，并同时报告涉嫌违法的被抽样生产者、销售者所在地市级市场监督管理部门。</w:t>
      </w:r>
    </w:p>
    <w:p w14:paraId="7209409C">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抽样人员应当使用规定的抽样文书记录抽样信息，并对抽样场所、贮存环境、被抽样产品的标识、库存数量、抽样过程等通过拍照或者录像的方式留存证据。</w:t>
      </w:r>
    </w:p>
    <w:p w14:paraId="4147BCD0">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抽样文书应当经抽样人员和被抽样生产者、销售者签字。被抽样生产者、销售者拒绝签字的，抽样人员应当在抽样文书上注明情况，必要时可以邀请有关人员作为见证人。</w:t>
      </w:r>
    </w:p>
    <w:p w14:paraId="5346158B">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抽样文书确需更正或者补充的，应当由被抽样生产者、销售者在更正或者补充处以签名、盖章等方式予以确认。</w:t>
      </w:r>
    </w:p>
    <w:p w14:paraId="2EF1F07B">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因被抽样生产者、销售者转产、停业等原因致使无法抽样的，抽样人员应当如实记录，报送组织监督抽查的市场监督管理部门。</w:t>
      </w:r>
    </w:p>
    <w:p w14:paraId="6429B7D7">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被抽样生产者、销售者以明显不合理的样品价格等方式阻碍、拒绝或者不配合抽样的，抽样人员应当如实记录，立即报告组织监督抽查的市场监督管理部门，并同时报告被抽样生产者、销售者所在地市级市场监督管理部门。</w:t>
      </w:r>
    </w:p>
    <w:p w14:paraId="5CA609B6">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样品分为检验样品和备用样品。除不以破坏性试验方式进行检验，并且不会对样品质量造成实质性影响的外，抽样人员应当购买检验样品。购买检验样品的价格以生产、销售产品的标价为准；没有标价的，以同类产品的市场价格为准。</w:t>
      </w:r>
    </w:p>
    <w:p w14:paraId="679F1222">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备用样品由被抽样生产者、销售者先行无偿提供。法律、行政法规、部门规章对样品获取方式另有规定的，依照其规定。</w:t>
      </w:r>
    </w:p>
    <w:p w14:paraId="0CF5B198">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抽样人员应当采取有效的防拆封措施，对检验样品和备用样品分别封样，并由抽样人员和被抽样生产者、销售者签字确认。</w:t>
      </w:r>
    </w:p>
    <w:p w14:paraId="6CF4D892">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样品应当由抽样人员携带或者寄递至检验机构进行检验。对于易碎品、危险化学品等对运输、贮存过程有特殊要求的样品，应当采取有效措施，保证样品的运输、贮存过程符合国家有关规定，不发生影响检验结论的变化。</w:t>
      </w:r>
    </w:p>
    <w:p w14:paraId="05C4CA37">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样品需要先行存放在被抽样生产者、销售者处的，应当予以封存，并加施封存标识。被抽样生产者、销售者应当妥善保管封存的样品，不得隐匿、转移、变卖、损毁。</w:t>
      </w:r>
    </w:p>
    <w:p w14:paraId="5D10A376">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2、检验</w:t>
      </w:r>
    </w:p>
    <w:p w14:paraId="01B46775">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检验人员收到样品后，应当通过拍照或者录像的方式检查记录样品的外观、状态、封条有无破损以及其他可能对检验结论产生影响的情形，并核对样品与抽样文书的记录是否相符。</w:t>
      </w:r>
    </w:p>
    <w:p w14:paraId="35DD6A39">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对于抽样不规范的样品，检验人员应当拒绝接收并书面说明理由，同时向组织监督抽查的市场监督管理部门报告。</w:t>
      </w:r>
    </w:p>
    <w:p w14:paraId="17133D28">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被抽样产品实行生产许可、强制性产品认证等管理的，检验人员应当在检验前核实样品的生产者是否符合相应要求。</w:t>
      </w:r>
    </w:p>
    <w:p w14:paraId="0AA717C8">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检验人员发现样品的生产者涉嫌存在无证无照等无需检验即可判定违法的情形的，应当终止检验，立即报告组织监督抽查的市场监督管理部门，并同时报告涉嫌违法的样品的生产者所在地市级市场监督管理部门。</w:t>
      </w:r>
    </w:p>
    <w:p w14:paraId="249C6664">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检验人员应当按照监督抽查实施规范所规定的检验项目、检验方法、判定规则等进行检验。</w:t>
      </w:r>
    </w:p>
    <w:p w14:paraId="78AE831D">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检验中发现因样品失效或者其他原因致使检验无法进行的，检验人员应当如实记录，并提供相关证明材料，报送组织监督抽查的市场监督管理部门。</w:t>
      </w:r>
    </w:p>
    <w:p w14:paraId="35A026C6">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检验机构出具检验报告，应当内容真实齐全、数据准确、结论明确，并按照有关规定签字、盖章。</w:t>
      </w:r>
    </w:p>
    <w:p w14:paraId="1007C165">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检验机构和检验人员应当对其出具的检验报告负责。</w:t>
      </w:r>
    </w:p>
    <w:p w14:paraId="749E3007">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检验机构应当在规定时间内将检验报告及有关材料报送组织监督抽查的市场监督管理部门。</w:t>
      </w:r>
    </w:p>
    <w:p w14:paraId="7B02E5A0">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检验结论为合格并且属于无偿提供的样品，组织监督抽查的市场监督管理部门应当在提出异议处理申请期限届满后及时退还。</w:t>
      </w:r>
    </w:p>
    <w:p w14:paraId="6779DD1B">
      <w:pPr>
        <w:topLinePunct/>
        <w:adjustRightInd w:val="0"/>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val="en-US" w:eastAsia="zh-CN"/>
        </w:rPr>
        <w:t>前款规定以外的其他样品，组织监督抽查的市场监督管理部门应当在提出异议处理申请期限届满后按照有关规定处理。</w:t>
      </w:r>
    </w:p>
    <w:p w14:paraId="220901B5">
      <w:pPr>
        <w:spacing w:line="560" w:lineRule="exact"/>
        <w:outlineLvl w:val="0"/>
        <w:rPr>
          <w:rFonts w:ascii="黑体" w:hAnsi="黑体" w:eastAsia="黑体"/>
          <w:b/>
          <w:sz w:val="32"/>
          <w:szCs w:val="32"/>
        </w:rPr>
      </w:pPr>
      <w:r>
        <w:rPr>
          <w:rFonts w:hint="eastAsia" w:ascii="黑体" w:hAnsi="黑体" w:eastAsia="黑体"/>
          <w:b/>
          <w:sz w:val="32"/>
          <w:szCs w:val="32"/>
          <w:lang w:eastAsia="zh-CN"/>
        </w:rPr>
        <w:t>七、</w:t>
      </w:r>
      <w:r>
        <w:rPr>
          <w:rFonts w:hint="eastAsia" w:ascii="黑体" w:hAnsi="黑体" w:eastAsia="黑体"/>
          <w:b/>
          <w:sz w:val="32"/>
          <w:szCs w:val="32"/>
        </w:rPr>
        <w:t>承检机构信息</w:t>
      </w:r>
    </w:p>
    <w:p w14:paraId="24254ED3">
      <w:pPr>
        <w:topLinePunct/>
        <w:adjustRightInd w:val="0"/>
        <w:spacing w:line="56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rPr>
        <w:t>名    称：</w:t>
      </w:r>
      <w:r>
        <w:rPr>
          <w:rFonts w:hint="eastAsia" w:ascii="仿宋" w:hAnsi="仿宋" w:eastAsia="仿宋"/>
          <w:color w:val="000000"/>
          <w:sz w:val="32"/>
          <w:szCs w:val="32"/>
          <w:lang w:eastAsia="zh-CN"/>
        </w:rPr>
        <w:t>山东精准产品质量检测有限公司</w:t>
      </w:r>
    </w:p>
    <w:p w14:paraId="7D8E799C">
      <w:pPr>
        <w:topLinePunct/>
        <w:adjustRightInd w:val="0"/>
        <w:spacing w:line="560" w:lineRule="exact"/>
        <w:ind w:firstLine="640" w:firstLineChars="200"/>
        <w:rPr>
          <w:rFonts w:hint="default" w:ascii="仿宋" w:hAnsi="仿宋" w:eastAsia="仿宋"/>
          <w:color w:val="000000"/>
          <w:sz w:val="32"/>
          <w:szCs w:val="32"/>
          <w:highlight w:val="none"/>
          <w:lang w:val="en-US"/>
        </w:rPr>
      </w:pPr>
      <w:r>
        <w:rPr>
          <w:rFonts w:hint="eastAsia" w:ascii="仿宋" w:hAnsi="仿宋" w:eastAsia="仿宋"/>
          <w:color w:val="000000"/>
          <w:sz w:val="32"/>
          <w:szCs w:val="32"/>
        </w:rPr>
        <w:t>地    址：</w:t>
      </w:r>
      <w:r>
        <w:rPr>
          <w:rFonts w:hint="eastAsia" w:ascii="仿宋" w:hAnsi="仿宋" w:eastAsia="仿宋"/>
          <w:color w:val="000000"/>
          <w:sz w:val="32"/>
          <w:szCs w:val="32"/>
          <w:lang w:eastAsia="zh-CN"/>
        </w:rPr>
        <w:t>山东省菏泽市高新区中华西路</w:t>
      </w:r>
      <w:r>
        <w:rPr>
          <w:rFonts w:hint="eastAsia" w:ascii="仿宋" w:hAnsi="仿宋" w:eastAsia="仿宋"/>
          <w:color w:val="000000"/>
          <w:sz w:val="32"/>
          <w:szCs w:val="32"/>
          <w:lang w:val="en-US" w:eastAsia="zh-CN"/>
        </w:rPr>
        <w:t>2059号西楼菏泽</w:t>
      </w:r>
      <w:r>
        <w:rPr>
          <w:rFonts w:hint="eastAsia" w:ascii="仿宋" w:hAnsi="仿宋" w:eastAsia="仿宋"/>
          <w:color w:val="000000"/>
          <w:sz w:val="32"/>
          <w:szCs w:val="32"/>
          <w:highlight w:val="none"/>
          <w:lang w:val="en-US" w:eastAsia="zh-CN"/>
        </w:rPr>
        <w:t>高新区金融总部经济园区685室/九为产业园内</w:t>
      </w:r>
    </w:p>
    <w:p w14:paraId="2558EF84">
      <w:pPr>
        <w:numPr>
          <w:ilvl w:val="0"/>
          <w:numId w:val="0"/>
        </w:numPr>
        <w:spacing w:line="560" w:lineRule="exact"/>
        <w:outlineLvl w:val="0"/>
        <w:rPr>
          <w:rFonts w:hint="eastAsia" w:ascii="黑体" w:hAnsi="黑体" w:eastAsia="黑体"/>
          <w:b/>
          <w:sz w:val="32"/>
          <w:szCs w:val="32"/>
          <w:highlight w:val="none"/>
        </w:rPr>
      </w:pPr>
      <w:r>
        <w:rPr>
          <w:rFonts w:hint="eastAsia" w:ascii="黑体" w:hAnsi="黑体" w:eastAsia="黑体" w:cstheme="minorBidi"/>
          <w:b/>
          <w:kern w:val="2"/>
          <w:sz w:val="32"/>
          <w:szCs w:val="32"/>
          <w:lang w:val="en-US" w:eastAsia="zh-CN" w:bidi="ar-SA"/>
        </w:rPr>
        <w:t>八、</w:t>
      </w:r>
      <w:r>
        <w:rPr>
          <w:rFonts w:hint="eastAsia" w:ascii="黑体" w:hAnsi="黑体" w:eastAsia="黑体"/>
          <w:b/>
          <w:sz w:val="32"/>
          <w:szCs w:val="32"/>
          <w:highlight w:val="none"/>
        </w:rPr>
        <w:t>监督抽查工作要求</w:t>
      </w:r>
    </w:p>
    <w:p w14:paraId="7590C4EA">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highlight w:val="none"/>
          <w:lang w:val="en-US" w:eastAsia="zh-CN"/>
        </w:rPr>
        <w:t>（一）监督抽查工作要严格按照国家市场监督管理总局公布的《产品质量监督抽查管理暂行办法》、《车用汽油产品质量监督抽查实施细则（2026版）》、《醇基液体燃料产品质量监督抽查实施细则（2026版）》、《电动自行车产品质量监督抽查实施细则（2026版）》、《电动自行车用充电器产品质量监督抽查实施细则（2026版）》、《电动自行车用蓄电池产品质量监督抽查实施细则（2026版）》、《烟花爆竹产品质量监督抽查实施细则（2026版）》、《食品接触用塑料包装膜、袋产品质量监督抽查实施细则（2026版）》、《餐具用洗涤剂产品质量监督抽查实施细则（2026版）》相</w:t>
      </w:r>
      <w:r>
        <w:rPr>
          <w:rFonts w:hint="eastAsia" w:ascii="仿宋" w:hAnsi="仿宋" w:eastAsia="仿宋"/>
          <w:color w:val="000000"/>
          <w:sz w:val="32"/>
          <w:szCs w:val="32"/>
          <w:lang w:val="en-US" w:eastAsia="zh-CN"/>
        </w:rPr>
        <w:t>关规定开展，严格规范抽检程序，不得随意抽检。</w:t>
      </w:r>
    </w:p>
    <w:p w14:paraId="018BA16D">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二）抽样人员应规范着装持证，按方案规定抽取样品。实行抽检分离制度。除现场检验外，抽样人员不得承担其抽样产品的检验工作。要确保样品的代表性、科学性，要覆盖高中低档及一定的品牌、场所；要对样品进行确认，确保检测样品与备检样品为同一规格型号/生产批次；要认真填写抽样工作单，要求字迹清晰，信息完整，须与产品标签内容完全一致，应标明样品类别及样品等级，不得缺项、漏项，销售者及抽样人员要现场签字确认；要对样品进行现场拍照留存，样品运输要保证样品的完整与安全；对被抽检经营者要履行好告知义务，保护好经营者合法权益。</w:t>
      </w:r>
    </w:p>
    <w:p w14:paraId="6BE502F9">
      <w:pPr>
        <w:topLinePunct/>
        <w:adjustRightInd w:val="0"/>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（三）承检机构应当在委托范围内开展抽样、检验工作，保证抽样、检验工作及其结果的客观、公正、真实。</w:t>
      </w:r>
    </w:p>
    <w:p w14:paraId="4C233341">
      <w:pPr>
        <w:pStyle w:val="31"/>
        <w:numPr>
          <w:ilvl w:val="0"/>
          <w:numId w:val="0"/>
        </w:numPr>
        <w:ind w:left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九、其他应注意的事项</w:t>
      </w:r>
    </w:p>
    <w:p w14:paraId="6F4F72AF">
      <w:pPr>
        <w:snapToGrid w:val="0"/>
        <w:spacing w:line="440" w:lineRule="exact"/>
        <w:rPr>
          <w:rFonts w:ascii="黑体" w:hAnsi="宋体" w:eastAsia="黑体"/>
          <w:b/>
          <w:bCs/>
          <w:color w:val="auto"/>
          <w:sz w:val="30"/>
          <w:szCs w:val="30"/>
          <w:highlight w:val="none"/>
        </w:rPr>
      </w:pPr>
      <w:r>
        <w:rPr>
          <w:rFonts w:hint="eastAsia" w:ascii="黑体" w:hAnsi="宋体" w:eastAsia="黑体"/>
          <w:b/>
          <w:bCs/>
          <w:color w:val="auto"/>
          <w:sz w:val="30"/>
          <w:szCs w:val="30"/>
          <w:highlight w:val="none"/>
          <w:lang w:val="en-US" w:eastAsia="zh-CN"/>
        </w:rPr>
        <w:t>1、</w:t>
      </w:r>
      <w:r>
        <w:rPr>
          <w:rFonts w:hint="eastAsia" w:ascii="黑体" w:hAnsi="宋体" w:eastAsia="黑体"/>
          <w:b/>
          <w:bCs/>
          <w:color w:val="auto"/>
          <w:sz w:val="30"/>
          <w:szCs w:val="30"/>
          <w:highlight w:val="none"/>
        </w:rPr>
        <w:t>异议处理</w:t>
      </w:r>
    </w:p>
    <w:p w14:paraId="4CC989B7">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对判定不合格产品进行异议处理时，按以下方式进行：</w:t>
      </w:r>
    </w:p>
    <w:p w14:paraId="4C8EBFEE">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核查不合格项目相关证据，能够以记录（纸质记录或电子记录或影像记录）或与不合格项目相关联的其它质量数据等检验证据证明，并得到被检方认可的，维持原有检验结论不变。</w:t>
      </w:r>
    </w:p>
    <w:p w14:paraId="549FB85F">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对需要复检并具备检验条件的，处理企业异议的市场监督管理部门或者指定检验机构应当按原监督抽查方案对留存的样品或抽取的备用样品组织复检，并出具检验报告。复检结论为最终结论。</w:t>
      </w:r>
    </w:p>
    <w:p w14:paraId="651EB1C7">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被抽样生产者、销售者有异议的，应当自收到检验结论书面告知之日起十五日内向组织监督抽查的市场监督管理部门提出书面异议处理申请，并提交相关材料。</w:t>
      </w:r>
    </w:p>
    <w:p w14:paraId="030CADB3">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被抽样生产者、销售者对抽样过程、样品真实性等有异议的，收到异议处理申请的市场监督管理部门应当组织异议处理，并将处理结论书面告知申请人。</w:t>
      </w:r>
    </w:p>
    <w:p w14:paraId="45DAED9D">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被抽样生产者、销售者对检验结论有异议，提出书面复检申请并阐明理由的，收到异议处理申请的市场监督管理部门应当组织研究。对需要复检并具备检验条件的，应当组织复检。</w:t>
      </w:r>
    </w:p>
    <w:p w14:paraId="6F715A6C">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除不以破坏性试验方式进行检验，并且不会对样品质量造成实质性影响的外，组织复检的市场监督管理部门应当向被抽样生产者、销售者支付备用样品费用。</w:t>
      </w:r>
    </w:p>
    <w:p w14:paraId="1656E10B">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申请人应当自收到市场监督管理部门复检通知之日起七日内办理复检手续。逾期未办理的，视为放弃复检。</w:t>
      </w:r>
    </w:p>
    <w:p w14:paraId="5E20EAB1">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市场监督管理部门应当自申请人办理复检手续之日起十日内确定具备相应资质的检验机构进行复检。</w:t>
      </w:r>
    </w:p>
    <w:p w14:paraId="6985F4A9">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被抽样生产者、销售者隐匿、转移、变卖、损毁备用样品的，应当终止复检，并以初检结论为最终结论。</w:t>
      </w:r>
    </w:p>
    <w:p w14:paraId="32D767DB">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复检机构应当通过拍照或者录像的方式检查记录备用样品的外观、状态、封条有无破损以及其他可能对检验结论产生影响的情形，并核对备用样品与抽样文书的记录是否相符。</w:t>
      </w:r>
    </w:p>
    <w:p w14:paraId="0AB5B864">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复检机构应当在规定时间内按照监督抽查实施规范所规定的检验方法、判定规则等对与异议相关的检验项目进行复检，并将复检结论及时报送组织复检的市场监督管理部门，由组织复检的市场监督管理部门书面告知复检申请人。复检结论为最终结论。</w:t>
      </w:r>
    </w:p>
    <w:p w14:paraId="3A7FF50A">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复检费用由申请人向复检机构先行支付。复检结论与初检结论一致的，复检费用由申请人承担；与初检结论不一致的，复检费用由组织监督抽查的市场监督管理部门承担。</w:t>
      </w:r>
    </w:p>
    <w:p w14:paraId="6BF218FC">
      <w:pPr>
        <w:snapToGrid w:val="0"/>
        <w:spacing w:line="440" w:lineRule="exact"/>
        <w:rPr>
          <w:rFonts w:hint="default" w:ascii="黑体" w:hAnsi="宋体" w:eastAsia="黑体"/>
          <w:b/>
          <w:bCs/>
          <w:color w:val="auto"/>
          <w:sz w:val="30"/>
          <w:szCs w:val="30"/>
          <w:highlight w:val="none"/>
          <w:lang w:val="en-US" w:eastAsia="zh-CN"/>
        </w:rPr>
      </w:pPr>
      <w:r>
        <w:rPr>
          <w:rFonts w:hint="eastAsia" w:ascii="黑体" w:hAnsi="宋体" w:eastAsia="黑体"/>
          <w:b/>
          <w:bCs/>
          <w:color w:val="auto"/>
          <w:sz w:val="30"/>
          <w:szCs w:val="30"/>
          <w:highlight w:val="none"/>
          <w:lang w:val="en-US" w:eastAsia="zh-CN"/>
        </w:rPr>
        <w:t>2、有下列情形之一的，抽样人员不得抽样：</w:t>
      </w:r>
    </w:p>
    <w:p w14:paraId="76BA86FA">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（一）待销产品数量不符合监督抽查实施规范要求的；</w:t>
      </w:r>
    </w:p>
    <w:p w14:paraId="4BDEB3FD">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（二）有充分证据表明拟抽样产品不用于销售，或者只用于出口并且出口合同对产品质量另有约定的；</w:t>
      </w:r>
    </w:p>
    <w:p w14:paraId="7D608C98">
      <w:pPr>
        <w:pStyle w:val="41"/>
        <w:numPr>
          <w:ilvl w:val="0"/>
          <w:numId w:val="0"/>
        </w:numPr>
        <w:ind w:leftChars="0" w:firstLine="640" w:firstLineChars="200"/>
        <w:jc w:val="left"/>
        <w:rPr>
          <w:rFonts w:hint="eastAsia" w:ascii="仿宋" w:hAnsi="仿宋" w:eastAsia="仿宋" w:cstheme="minorBidi"/>
          <w:color w:val="000000"/>
          <w:kern w:val="2"/>
          <w:sz w:val="32"/>
          <w:szCs w:val="32"/>
          <w:lang w:val="en-US" w:eastAsia="zh-CN" w:bidi="ar-SA"/>
        </w:rPr>
      </w:pPr>
      <w:r>
        <w:rPr>
          <w:rFonts w:hint="eastAsia" w:ascii="仿宋" w:hAnsi="仿宋" w:eastAsia="仿宋" w:cstheme="minorBidi"/>
          <w:color w:val="000000"/>
          <w:kern w:val="2"/>
          <w:sz w:val="32"/>
          <w:szCs w:val="32"/>
          <w:lang w:val="en-US" w:eastAsia="zh-CN" w:bidi="ar-SA"/>
        </w:rPr>
        <w:t>（三）产品或者其包装上标注“试制</w:t>
      </w:r>
      <w:bookmarkStart w:id="10" w:name="_GoBack"/>
      <w:bookmarkEnd w:id="10"/>
      <w:r>
        <w:rPr>
          <w:rFonts w:hint="eastAsia" w:ascii="仿宋" w:hAnsi="仿宋" w:eastAsia="仿宋" w:cstheme="minorBidi"/>
          <w:color w:val="000000"/>
          <w:kern w:val="2"/>
          <w:sz w:val="32"/>
          <w:szCs w:val="32"/>
          <w:lang w:val="en-US" w:eastAsia="zh-CN" w:bidi="ar-SA"/>
        </w:rPr>
        <w:t>”、“处理”、“样品”等字样的。</w:t>
      </w:r>
    </w:p>
    <w:sectPr>
      <w:footerReference r:id="rId3" w:type="default"/>
      <w:pgSz w:w="11906" w:h="16838"/>
      <w:pgMar w:top="1440" w:right="1083" w:bottom="1440" w:left="108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2221F">
    <w:pPr>
      <w:pStyle w:val="18"/>
      <w:jc w:val="center"/>
    </w:pPr>
    <w:r>
      <w:fldChar w:fldCharType="begin"/>
    </w:r>
    <w:r>
      <w:instrText xml:space="preserve">PAGE   \* MERGEFORMAT</w:instrText>
    </w:r>
    <w:r>
      <w:fldChar w:fldCharType="separate"/>
    </w:r>
    <w:r>
      <w:rPr>
        <w:lang w:val="zh-CN"/>
      </w:rPr>
      <w:t>1</w:t>
    </w:r>
    <w:r>
      <w:rPr>
        <w:lang w:val="zh-CN"/>
      </w:rPr>
      <w:fldChar w:fldCharType="end"/>
    </w:r>
  </w:p>
  <w:p w14:paraId="3D5F6CB6">
    <w:pPr>
      <w:pStyle w:val="1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2NzA3NmM4NGMwNjk4YWNlNGNlYjBlMGEzNDg0Y2EifQ=="/>
  </w:docVars>
  <w:rsids>
    <w:rsidRoot w:val="00083A21"/>
    <w:rsid w:val="00047315"/>
    <w:rsid w:val="00050E55"/>
    <w:rsid w:val="00083A21"/>
    <w:rsid w:val="000A11D7"/>
    <w:rsid w:val="000A43A4"/>
    <w:rsid w:val="000C7E04"/>
    <w:rsid w:val="00105641"/>
    <w:rsid w:val="0011281C"/>
    <w:rsid w:val="00133DB8"/>
    <w:rsid w:val="00154603"/>
    <w:rsid w:val="00161DA8"/>
    <w:rsid w:val="00167E91"/>
    <w:rsid w:val="001E2312"/>
    <w:rsid w:val="00221930"/>
    <w:rsid w:val="00224F77"/>
    <w:rsid w:val="00263EA8"/>
    <w:rsid w:val="002A7C53"/>
    <w:rsid w:val="002B2884"/>
    <w:rsid w:val="002E317A"/>
    <w:rsid w:val="00325266"/>
    <w:rsid w:val="003575AB"/>
    <w:rsid w:val="00361BB7"/>
    <w:rsid w:val="00370B3C"/>
    <w:rsid w:val="00387D28"/>
    <w:rsid w:val="00397716"/>
    <w:rsid w:val="003A1EBB"/>
    <w:rsid w:val="00431A76"/>
    <w:rsid w:val="00465A1B"/>
    <w:rsid w:val="0047238F"/>
    <w:rsid w:val="004E27AB"/>
    <w:rsid w:val="00527DE3"/>
    <w:rsid w:val="00541581"/>
    <w:rsid w:val="005779D4"/>
    <w:rsid w:val="005A461A"/>
    <w:rsid w:val="00610318"/>
    <w:rsid w:val="006229D9"/>
    <w:rsid w:val="00670123"/>
    <w:rsid w:val="006A5A19"/>
    <w:rsid w:val="006C1A7B"/>
    <w:rsid w:val="006D47DA"/>
    <w:rsid w:val="006E3CD8"/>
    <w:rsid w:val="00750BB7"/>
    <w:rsid w:val="00767D33"/>
    <w:rsid w:val="007A761E"/>
    <w:rsid w:val="007C0A54"/>
    <w:rsid w:val="008531CA"/>
    <w:rsid w:val="00892259"/>
    <w:rsid w:val="008D70E4"/>
    <w:rsid w:val="00927AD2"/>
    <w:rsid w:val="00960995"/>
    <w:rsid w:val="009A483D"/>
    <w:rsid w:val="009B5C89"/>
    <w:rsid w:val="009C541A"/>
    <w:rsid w:val="00A114F9"/>
    <w:rsid w:val="00AC278D"/>
    <w:rsid w:val="00B229C2"/>
    <w:rsid w:val="00B42E07"/>
    <w:rsid w:val="00BC3A1F"/>
    <w:rsid w:val="00C01315"/>
    <w:rsid w:val="00C02A51"/>
    <w:rsid w:val="00C52718"/>
    <w:rsid w:val="00CD554F"/>
    <w:rsid w:val="00D047DE"/>
    <w:rsid w:val="00D308AF"/>
    <w:rsid w:val="00D46C9E"/>
    <w:rsid w:val="00D538B2"/>
    <w:rsid w:val="00D60D6A"/>
    <w:rsid w:val="00D75579"/>
    <w:rsid w:val="00DF75BE"/>
    <w:rsid w:val="00E36015"/>
    <w:rsid w:val="00E371E1"/>
    <w:rsid w:val="00E37D3B"/>
    <w:rsid w:val="00E50A2F"/>
    <w:rsid w:val="00E768BB"/>
    <w:rsid w:val="00E81DC0"/>
    <w:rsid w:val="00E962D4"/>
    <w:rsid w:val="00EA27B2"/>
    <w:rsid w:val="00EA5501"/>
    <w:rsid w:val="00EF5654"/>
    <w:rsid w:val="00F0264C"/>
    <w:rsid w:val="00F07B7D"/>
    <w:rsid w:val="00F1758E"/>
    <w:rsid w:val="00F24034"/>
    <w:rsid w:val="00F611E4"/>
    <w:rsid w:val="00F668DF"/>
    <w:rsid w:val="00F7332C"/>
    <w:rsid w:val="00F80D42"/>
    <w:rsid w:val="00FB0F69"/>
    <w:rsid w:val="00FC701D"/>
    <w:rsid w:val="01014CA9"/>
    <w:rsid w:val="0112363F"/>
    <w:rsid w:val="011D0C62"/>
    <w:rsid w:val="0146105A"/>
    <w:rsid w:val="01487061"/>
    <w:rsid w:val="016750FB"/>
    <w:rsid w:val="017660E4"/>
    <w:rsid w:val="01A41724"/>
    <w:rsid w:val="01C761D7"/>
    <w:rsid w:val="01FF0F05"/>
    <w:rsid w:val="02347CF7"/>
    <w:rsid w:val="0253306D"/>
    <w:rsid w:val="025D1870"/>
    <w:rsid w:val="027F2F56"/>
    <w:rsid w:val="028538CE"/>
    <w:rsid w:val="028B618D"/>
    <w:rsid w:val="02A76543"/>
    <w:rsid w:val="02EF492C"/>
    <w:rsid w:val="03076387"/>
    <w:rsid w:val="035621AE"/>
    <w:rsid w:val="037774EE"/>
    <w:rsid w:val="03B17CB4"/>
    <w:rsid w:val="03C60832"/>
    <w:rsid w:val="03CF6589"/>
    <w:rsid w:val="040A0B20"/>
    <w:rsid w:val="040A28EB"/>
    <w:rsid w:val="040E1C49"/>
    <w:rsid w:val="043D64FC"/>
    <w:rsid w:val="046C750A"/>
    <w:rsid w:val="047D5273"/>
    <w:rsid w:val="048E605F"/>
    <w:rsid w:val="04A2231A"/>
    <w:rsid w:val="04C17E38"/>
    <w:rsid w:val="04C42EA2"/>
    <w:rsid w:val="04CE3908"/>
    <w:rsid w:val="04DD5D12"/>
    <w:rsid w:val="05151950"/>
    <w:rsid w:val="054160C5"/>
    <w:rsid w:val="0547596F"/>
    <w:rsid w:val="05682C9B"/>
    <w:rsid w:val="05BE4C1A"/>
    <w:rsid w:val="05E05ABA"/>
    <w:rsid w:val="05F652DD"/>
    <w:rsid w:val="05FC729E"/>
    <w:rsid w:val="06343329"/>
    <w:rsid w:val="0635198C"/>
    <w:rsid w:val="064435DD"/>
    <w:rsid w:val="06594AAD"/>
    <w:rsid w:val="06691F53"/>
    <w:rsid w:val="0673513B"/>
    <w:rsid w:val="067F46F8"/>
    <w:rsid w:val="068C79F0"/>
    <w:rsid w:val="06A50AB1"/>
    <w:rsid w:val="06BC70A2"/>
    <w:rsid w:val="06D1487F"/>
    <w:rsid w:val="07012F43"/>
    <w:rsid w:val="070457D8"/>
    <w:rsid w:val="070D23A8"/>
    <w:rsid w:val="076F18D4"/>
    <w:rsid w:val="07770F35"/>
    <w:rsid w:val="078E47BA"/>
    <w:rsid w:val="079A613C"/>
    <w:rsid w:val="07C913DA"/>
    <w:rsid w:val="07F03DB6"/>
    <w:rsid w:val="07F872A4"/>
    <w:rsid w:val="081421A0"/>
    <w:rsid w:val="08270FFF"/>
    <w:rsid w:val="0833776F"/>
    <w:rsid w:val="08406522"/>
    <w:rsid w:val="084A7B62"/>
    <w:rsid w:val="08577CAD"/>
    <w:rsid w:val="08767C22"/>
    <w:rsid w:val="08803DB5"/>
    <w:rsid w:val="08AC2D35"/>
    <w:rsid w:val="08BE32AD"/>
    <w:rsid w:val="08CC2909"/>
    <w:rsid w:val="08FC70AE"/>
    <w:rsid w:val="091806F8"/>
    <w:rsid w:val="092B1EC8"/>
    <w:rsid w:val="094620D8"/>
    <w:rsid w:val="094E71DE"/>
    <w:rsid w:val="09996637"/>
    <w:rsid w:val="09A5055E"/>
    <w:rsid w:val="09D81BAE"/>
    <w:rsid w:val="09EF717A"/>
    <w:rsid w:val="0A1E15AB"/>
    <w:rsid w:val="0A3C721C"/>
    <w:rsid w:val="0A3E0435"/>
    <w:rsid w:val="0A646EE4"/>
    <w:rsid w:val="0A834B70"/>
    <w:rsid w:val="0A993FB0"/>
    <w:rsid w:val="0AA605C5"/>
    <w:rsid w:val="0AB83E77"/>
    <w:rsid w:val="0AD81455"/>
    <w:rsid w:val="0B1422AF"/>
    <w:rsid w:val="0B513D38"/>
    <w:rsid w:val="0B524B73"/>
    <w:rsid w:val="0B757401"/>
    <w:rsid w:val="0B7619B7"/>
    <w:rsid w:val="0BB17127"/>
    <w:rsid w:val="0BD04779"/>
    <w:rsid w:val="0BF85E6F"/>
    <w:rsid w:val="0C76756C"/>
    <w:rsid w:val="0CA27F6D"/>
    <w:rsid w:val="0CBC4269"/>
    <w:rsid w:val="0CDC078A"/>
    <w:rsid w:val="0D004061"/>
    <w:rsid w:val="0D464D9C"/>
    <w:rsid w:val="0D546315"/>
    <w:rsid w:val="0D936EA5"/>
    <w:rsid w:val="0DBC3DAF"/>
    <w:rsid w:val="0DCE562B"/>
    <w:rsid w:val="0DD02107"/>
    <w:rsid w:val="0DEA1BCB"/>
    <w:rsid w:val="0E2624D8"/>
    <w:rsid w:val="0E4C7F3E"/>
    <w:rsid w:val="0E7375BE"/>
    <w:rsid w:val="0E8E4D88"/>
    <w:rsid w:val="0EA53D44"/>
    <w:rsid w:val="0EAE78CD"/>
    <w:rsid w:val="0EC66E0A"/>
    <w:rsid w:val="0EC77D8F"/>
    <w:rsid w:val="0EDC268C"/>
    <w:rsid w:val="0EFC695D"/>
    <w:rsid w:val="0F04655A"/>
    <w:rsid w:val="0F0F7540"/>
    <w:rsid w:val="0F184D1A"/>
    <w:rsid w:val="0F2A2810"/>
    <w:rsid w:val="0F2E5AE8"/>
    <w:rsid w:val="0F2E7896"/>
    <w:rsid w:val="0F3C1993"/>
    <w:rsid w:val="0F5D00AE"/>
    <w:rsid w:val="0F961CFB"/>
    <w:rsid w:val="0FA53A62"/>
    <w:rsid w:val="10262C0F"/>
    <w:rsid w:val="105D1DBB"/>
    <w:rsid w:val="10AA71BC"/>
    <w:rsid w:val="10B85D27"/>
    <w:rsid w:val="10F95797"/>
    <w:rsid w:val="11182F76"/>
    <w:rsid w:val="111923AE"/>
    <w:rsid w:val="112153AE"/>
    <w:rsid w:val="11230F50"/>
    <w:rsid w:val="112C2339"/>
    <w:rsid w:val="112E39DB"/>
    <w:rsid w:val="115170EF"/>
    <w:rsid w:val="11617FB9"/>
    <w:rsid w:val="116457F1"/>
    <w:rsid w:val="116C5ECE"/>
    <w:rsid w:val="11716160"/>
    <w:rsid w:val="117A6F6A"/>
    <w:rsid w:val="11944E0A"/>
    <w:rsid w:val="11AC1BE1"/>
    <w:rsid w:val="11AF4817"/>
    <w:rsid w:val="11D20E9D"/>
    <w:rsid w:val="122A7556"/>
    <w:rsid w:val="12363C26"/>
    <w:rsid w:val="126F48CC"/>
    <w:rsid w:val="127355F3"/>
    <w:rsid w:val="129160AD"/>
    <w:rsid w:val="12AE58A6"/>
    <w:rsid w:val="12BD245C"/>
    <w:rsid w:val="12C72B29"/>
    <w:rsid w:val="12D40754"/>
    <w:rsid w:val="131C20FB"/>
    <w:rsid w:val="13337B71"/>
    <w:rsid w:val="13755530"/>
    <w:rsid w:val="13A256FD"/>
    <w:rsid w:val="13B1443C"/>
    <w:rsid w:val="13C20EF5"/>
    <w:rsid w:val="140C2170"/>
    <w:rsid w:val="140C7662"/>
    <w:rsid w:val="143A1C2E"/>
    <w:rsid w:val="14872EA2"/>
    <w:rsid w:val="14874664"/>
    <w:rsid w:val="148A53EC"/>
    <w:rsid w:val="14A606DB"/>
    <w:rsid w:val="14E6638F"/>
    <w:rsid w:val="150F29E3"/>
    <w:rsid w:val="1542737F"/>
    <w:rsid w:val="15583DC8"/>
    <w:rsid w:val="156A575E"/>
    <w:rsid w:val="157D3DBD"/>
    <w:rsid w:val="15905031"/>
    <w:rsid w:val="15B93289"/>
    <w:rsid w:val="15CB7C65"/>
    <w:rsid w:val="15D76701"/>
    <w:rsid w:val="15DC2C19"/>
    <w:rsid w:val="15E55543"/>
    <w:rsid w:val="15F2378B"/>
    <w:rsid w:val="15F83515"/>
    <w:rsid w:val="16077093"/>
    <w:rsid w:val="16157A01"/>
    <w:rsid w:val="161D28B4"/>
    <w:rsid w:val="162851B5"/>
    <w:rsid w:val="164F0FA8"/>
    <w:rsid w:val="167628AB"/>
    <w:rsid w:val="16BA5EB3"/>
    <w:rsid w:val="16BE21D6"/>
    <w:rsid w:val="16D80D31"/>
    <w:rsid w:val="1703785A"/>
    <w:rsid w:val="171E7347"/>
    <w:rsid w:val="1735378C"/>
    <w:rsid w:val="175618AE"/>
    <w:rsid w:val="17596A2C"/>
    <w:rsid w:val="176D414F"/>
    <w:rsid w:val="17DF9E2E"/>
    <w:rsid w:val="17EE7D8F"/>
    <w:rsid w:val="181472E6"/>
    <w:rsid w:val="18300F2E"/>
    <w:rsid w:val="18301A46"/>
    <w:rsid w:val="183930A8"/>
    <w:rsid w:val="18424D0B"/>
    <w:rsid w:val="18442827"/>
    <w:rsid w:val="18B131C6"/>
    <w:rsid w:val="18CA2EB4"/>
    <w:rsid w:val="192D28C6"/>
    <w:rsid w:val="192E0FC4"/>
    <w:rsid w:val="19341F4D"/>
    <w:rsid w:val="194734DA"/>
    <w:rsid w:val="19540841"/>
    <w:rsid w:val="19692893"/>
    <w:rsid w:val="19A905C1"/>
    <w:rsid w:val="19AF429D"/>
    <w:rsid w:val="19B5233D"/>
    <w:rsid w:val="19CA28B1"/>
    <w:rsid w:val="19DD0836"/>
    <w:rsid w:val="1A024E33"/>
    <w:rsid w:val="1A266BC1"/>
    <w:rsid w:val="1A41514F"/>
    <w:rsid w:val="1A507839"/>
    <w:rsid w:val="1A512FD2"/>
    <w:rsid w:val="1A7555E0"/>
    <w:rsid w:val="1AC437A4"/>
    <w:rsid w:val="1ACD0148"/>
    <w:rsid w:val="1AEC17C4"/>
    <w:rsid w:val="1B0A0C30"/>
    <w:rsid w:val="1B1C060E"/>
    <w:rsid w:val="1B474FB9"/>
    <w:rsid w:val="1B4D6EDA"/>
    <w:rsid w:val="1B661617"/>
    <w:rsid w:val="1B6C00C4"/>
    <w:rsid w:val="1BCB6C8A"/>
    <w:rsid w:val="1BD012CE"/>
    <w:rsid w:val="1BDC4B08"/>
    <w:rsid w:val="1BDD02B3"/>
    <w:rsid w:val="1BDD5CC2"/>
    <w:rsid w:val="1BEB1F62"/>
    <w:rsid w:val="1C1D5257"/>
    <w:rsid w:val="1C3D1B09"/>
    <w:rsid w:val="1C4B7A67"/>
    <w:rsid w:val="1C6274DD"/>
    <w:rsid w:val="1C717389"/>
    <w:rsid w:val="1C803E12"/>
    <w:rsid w:val="1CC45CDD"/>
    <w:rsid w:val="1CE543D9"/>
    <w:rsid w:val="1CFE39F7"/>
    <w:rsid w:val="1D0B2294"/>
    <w:rsid w:val="1D186842"/>
    <w:rsid w:val="1D45405B"/>
    <w:rsid w:val="1D5C5F16"/>
    <w:rsid w:val="1D6E31E5"/>
    <w:rsid w:val="1D760DF8"/>
    <w:rsid w:val="1DBA4138"/>
    <w:rsid w:val="1DDB32DF"/>
    <w:rsid w:val="1E3E561C"/>
    <w:rsid w:val="1E5C3042"/>
    <w:rsid w:val="1E65704C"/>
    <w:rsid w:val="1EBC0122"/>
    <w:rsid w:val="1EC04283"/>
    <w:rsid w:val="1ED70087"/>
    <w:rsid w:val="1EFC492E"/>
    <w:rsid w:val="1F091A58"/>
    <w:rsid w:val="1F0C4386"/>
    <w:rsid w:val="1F293B8F"/>
    <w:rsid w:val="1F4B301F"/>
    <w:rsid w:val="1F9F4675"/>
    <w:rsid w:val="1FE67734"/>
    <w:rsid w:val="1FF14092"/>
    <w:rsid w:val="1FFF055B"/>
    <w:rsid w:val="20350D2A"/>
    <w:rsid w:val="20367403"/>
    <w:rsid w:val="203B63AE"/>
    <w:rsid w:val="204B1C0D"/>
    <w:rsid w:val="2058272B"/>
    <w:rsid w:val="20A74F3D"/>
    <w:rsid w:val="20AE0D22"/>
    <w:rsid w:val="20AF589B"/>
    <w:rsid w:val="20B92F1C"/>
    <w:rsid w:val="20CD0D15"/>
    <w:rsid w:val="20E73F18"/>
    <w:rsid w:val="20F9582B"/>
    <w:rsid w:val="21022930"/>
    <w:rsid w:val="2103768A"/>
    <w:rsid w:val="210A60C1"/>
    <w:rsid w:val="21540D9C"/>
    <w:rsid w:val="216435EB"/>
    <w:rsid w:val="216673FF"/>
    <w:rsid w:val="2176019E"/>
    <w:rsid w:val="217C281D"/>
    <w:rsid w:val="21AE6CB6"/>
    <w:rsid w:val="21E07116"/>
    <w:rsid w:val="22215CA5"/>
    <w:rsid w:val="225478CD"/>
    <w:rsid w:val="225C5D43"/>
    <w:rsid w:val="22706846"/>
    <w:rsid w:val="229B7D58"/>
    <w:rsid w:val="22AD4D49"/>
    <w:rsid w:val="22EB44B3"/>
    <w:rsid w:val="22F65C2D"/>
    <w:rsid w:val="22F67C95"/>
    <w:rsid w:val="233A2B27"/>
    <w:rsid w:val="23793EB4"/>
    <w:rsid w:val="23907B13"/>
    <w:rsid w:val="23A00D99"/>
    <w:rsid w:val="23D34A58"/>
    <w:rsid w:val="23D901C5"/>
    <w:rsid w:val="241A7BEF"/>
    <w:rsid w:val="242C366D"/>
    <w:rsid w:val="244F623F"/>
    <w:rsid w:val="24C57CE7"/>
    <w:rsid w:val="24EC5DD1"/>
    <w:rsid w:val="25062BDA"/>
    <w:rsid w:val="252500CA"/>
    <w:rsid w:val="252520E1"/>
    <w:rsid w:val="252F1E2A"/>
    <w:rsid w:val="252F2BA8"/>
    <w:rsid w:val="255A2C14"/>
    <w:rsid w:val="256F09B2"/>
    <w:rsid w:val="25A04430"/>
    <w:rsid w:val="25C9213E"/>
    <w:rsid w:val="25DF7CEE"/>
    <w:rsid w:val="260158AC"/>
    <w:rsid w:val="263254AA"/>
    <w:rsid w:val="26AD5E7A"/>
    <w:rsid w:val="26B20955"/>
    <w:rsid w:val="26BB5A5B"/>
    <w:rsid w:val="26C96EFA"/>
    <w:rsid w:val="26F176CF"/>
    <w:rsid w:val="26F84FD6"/>
    <w:rsid w:val="27185FAD"/>
    <w:rsid w:val="2719D221"/>
    <w:rsid w:val="271E1052"/>
    <w:rsid w:val="272935C4"/>
    <w:rsid w:val="274857A6"/>
    <w:rsid w:val="279128EF"/>
    <w:rsid w:val="27A2013C"/>
    <w:rsid w:val="27B00694"/>
    <w:rsid w:val="27B626C7"/>
    <w:rsid w:val="27FA62F4"/>
    <w:rsid w:val="2805529C"/>
    <w:rsid w:val="28290CE4"/>
    <w:rsid w:val="283D3617"/>
    <w:rsid w:val="285B21F8"/>
    <w:rsid w:val="28742493"/>
    <w:rsid w:val="289102DC"/>
    <w:rsid w:val="28D11CFA"/>
    <w:rsid w:val="28E05C4D"/>
    <w:rsid w:val="2912392D"/>
    <w:rsid w:val="29353BDD"/>
    <w:rsid w:val="29426491"/>
    <w:rsid w:val="296206A1"/>
    <w:rsid w:val="2981481E"/>
    <w:rsid w:val="299F622B"/>
    <w:rsid w:val="29A93812"/>
    <w:rsid w:val="29AC2148"/>
    <w:rsid w:val="29B402BE"/>
    <w:rsid w:val="29DE2D65"/>
    <w:rsid w:val="29EF3BB8"/>
    <w:rsid w:val="2A10690D"/>
    <w:rsid w:val="2A111E36"/>
    <w:rsid w:val="2A192EF0"/>
    <w:rsid w:val="2A247DBB"/>
    <w:rsid w:val="2A531D26"/>
    <w:rsid w:val="2A6D709E"/>
    <w:rsid w:val="2A7A3E7F"/>
    <w:rsid w:val="2A7B4A8D"/>
    <w:rsid w:val="2A8F5083"/>
    <w:rsid w:val="2AB85B22"/>
    <w:rsid w:val="2ADA4EB0"/>
    <w:rsid w:val="2B171DBE"/>
    <w:rsid w:val="2B2879E7"/>
    <w:rsid w:val="2B372760"/>
    <w:rsid w:val="2B4F4A5B"/>
    <w:rsid w:val="2B7408CF"/>
    <w:rsid w:val="2BBF1D12"/>
    <w:rsid w:val="2BDD5042"/>
    <w:rsid w:val="2BE55328"/>
    <w:rsid w:val="2C254E37"/>
    <w:rsid w:val="2C5C73FB"/>
    <w:rsid w:val="2C6B494D"/>
    <w:rsid w:val="2C813A16"/>
    <w:rsid w:val="2C8715CC"/>
    <w:rsid w:val="2CBC58D1"/>
    <w:rsid w:val="2CD258AD"/>
    <w:rsid w:val="2CE94479"/>
    <w:rsid w:val="2CF575DD"/>
    <w:rsid w:val="2D331CEE"/>
    <w:rsid w:val="2D396FC1"/>
    <w:rsid w:val="2D450775"/>
    <w:rsid w:val="2D5843B2"/>
    <w:rsid w:val="2D825525"/>
    <w:rsid w:val="2D9FFE30"/>
    <w:rsid w:val="2DD97B90"/>
    <w:rsid w:val="2DEA5ED6"/>
    <w:rsid w:val="2DF67A69"/>
    <w:rsid w:val="2DFF9474"/>
    <w:rsid w:val="2E7B62EE"/>
    <w:rsid w:val="2E89643F"/>
    <w:rsid w:val="2E8C2943"/>
    <w:rsid w:val="2F1F12D7"/>
    <w:rsid w:val="2F212B1B"/>
    <w:rsid w:val="2F31103B"/>
    <w:rsid w:val="2F320885"/>
    <w:rsid w:val="2F4B7098"/>
    <w:rsid w:val="2F4D3910"/>
    <w:rsid w:val="2F4E4E7D"/>
    <w:rsid w:val="2F6402D8"/>
    <w:rsid w:val="2F6A1B2A"/>
    <w:rsid w:val="2F72332C"/>
    <w:rsid w:val="2F7E6CC0"/>
    <w:rsid w:val="2FBB14D7"/>
    <w:rsid w:val="2FE87130"/>
    <w:rsid w:val="2FEF6991"/>
    <w:rsid w:val="2FFC6D08"/>
    <w:rsid w:val="301929AF"/>
    <w:rsid w:val="301944FA"/>
    <w:rsid w:val="3048170E"/>
    <w:rsid w:val="306A53C9"/>
    <w:rsid w:val="306E2BF2"/>
    <w:rsid w:val="3088055C"/>
    <w:rsid w:val="309E4F8E"/>
    <w:rsid w:val="30AE744F"/>
    <w:rsid w:val="30C34B2D"/>
    <w:rsid w:val="30D733EF"/>
    <w:rsid w:val="31124E12"/>
    <w:rsid w:val="31152298"/>
    <w:rsid w:val="312150AB"/>
    <w:rsid w:val="313302CD"/>
    <w:rsid w:val="313B0111"/>
    <w:rsid w:val="313B2616"/>
    <w:rsid w:val="31413001"/>
    <w:rsid w:val="31A92B72"/>
    <w:rsid w:val="31CC4598"/>
    <w:rsid w:val="32100D5B"/>
    <w:rsid w:val="322546D1"/>
    <w:rsid w:val="322F554F"/>
    <w:rsid w:val="32376954"/>
    <w:rsid w:val="323D3F92"/>
    <w:rsid w:val="328C4750"/>
    <w:rsid w:val="328D4906"/>
    <w:rsid w:val="32A04835"/>
    <w:rsid w:val="32AA5E5D"/>
    <w:rsid w:val="32D16548"/>
    <w:rsid w:val="32D72638"/>
    <w:rsid w:val="32FB1C0C"/>
    <w:rsid w:val="331D26FA"/>
    <w:rsid w:val="333E3A32"/>
    <w:rsid w:val="33510DBE"/>
    <w:rsid w:val="33517B36"/>
    <w:rsid w:val="335965C5"/>
    <w:rsid w:val="338C3C55"/>
    <w:rsid w:val="33993F10"/>
    <w:rsid w:val="33C80A9F"/>
    <w:rsid w:val="33CD3D0B"/>
    <w:rsid w:val="33E504C8"/>
    <w:rsid w:val="33F17EB1"/>
    <w:rsid w:val="33FA08A1"/>
    <w:rsid w:val="340430F1"/>
    <w:rsid w:val="340A2B91"/>
    <w:rsid w:val="340C2A78"/>
    <w:rsid w:val="341120E7"/>
    <w:rsid w:val="341A6A0A"/>
    <w:rsid w:val="342B0711"/>
    <w:rsid w:val="34310D79"/>
    <w:rsid w:val="34314779"/>
    <w:rsid w:val="343B3DBB"/>
    <w:rsid w:val="346B713A"/>
    <w:rsid w:val="3474193F"/>
    <w:rsid w:val="348E2A01"/>
    <w:rsid w:val="34B15A8A"/>
    <w:rsid w:val="34FA22BB"/>
    <w:rsid w:val="34FA3BF3"/>
    <w:rsid w:val="35586B6B"/>
    <w:rsid w:val="35626669"/>
    <w:rsid w:val="357729C3"/>
    <w:rsid w:val="35990793"/>
    <w:rsid w:val="35B75F88"/>
    <w:rsid w:val="35E10B5E"/>
    <w:rsid w:val="35E40BB0"/>
    <w:rsid w:val="35FD1084"/>
    <w:rsid w:val="35FD3B14"/>
    <w:rsid w:val="36220471"/>
    <w:rsid w:val="36413AA3"/>
    <w:rsid w:val="36425C77"/>
    <w:rsid w:val="36696D72"/>
    <w:rsid w:val="366F1798"/>
    <w:rsid w:val="36941E25"/>
    <w:rsid w:val="369628B0"/>
    <w:rsid w:val="369C61E7"/>
    <w:rsid w:val="36AF4501"/>
    <w:rsid w:val="371353C2"/>
    <w:rsid w:val="371F555B"/>
    <w:rsid w:val="373E3831"/>
    <w:rsid w:val="37771F7F"/>
    <w:rsid w:val="37782A9C"/>
    <w:rsid w:val="3787622D"/>
    <w:rsid w:val="37B50064"/>
    <w:rsid w:val="37D02395"/>
    <w:rsid w:val="37DF7408"/>
    <w:rsid w:val="37F736BF"/>
    <w:rsid w:val="38211DDE"/>
    <w:rsid w:val="383E5F9D"/>
    <w:rsid w:val="38551D4C"/>
    <w:rsid w:val="385D026B"/>
    <w:rsid w:val="38714D29"/>
    <w:rsid w:val="389200D5"/>
    <w:rsid w:val="38A87E0A"/>
    <w:rsid w:val="38CD4542"/>
    <w:rsid w:val="38FD63A7"/>
    <w:rsid w:val="39113E03"/>
    <w:rsid w:val="392767B6"/>
    <w:rsid w:val="392830F2"/>
    <w:rsid w:val="392A54B5"/>
    <w:rsid w:val="395B0D57"/>
    <w:rsid w:val="395E319B"/>
    <w:rsid w:val="398720B8"/>
    <w:rsid w:val="39926136"/>
    <w:rsid w:val="39A1361B"/>
    <w:rsid w:val="39A5225E"/>
    <w:rsid w:val="39BB2A9F"/>
    <w:rsid w:val="39CC57A5"/>
    <w:rsid w:val="39E63207"/>
    <w:rsid w:val="39FD10D2"/>
    <w:rsid w:val="3A184B1B"/>
    <w:rsid w:val="3A2F7A24"/>
    <w:rsid w:val="3A451DB4"/>
    <w:rsid w:val="3A6A12FA"/>
    <w:rsid w:val="3A970136"/>
    <w:rsid w:val="3AA62AC0"/>
    <w:rsid w:val="3AAF1923"/>
    <w:rsid w:val="3B2F23D0"/>
    <w:rsid w:val="3B3D0CDD"/>
    <w:rsid w:val="3B8E7DD7"/>
    <w:rsid w:val="3BAA4254"/>
    <w:rsid w:val="3BCC3053"/>
    <w:rsid w:val="3BF53FA7"/>
    <w:rsid w:val="3BF74889"/>
    <w:rsid w:val="3C0435A9"/>
    <w:rsid w:val="3C162BD1"/>
    <w:rsid w:val="3C407197"/>
    <w:rsid w:val="3C591B47"/>
    <w:rsid w:val="3C693B19"/>
    <w:rsid w:val="3CAF1159"/>
    <w:rsid w:val="3CC627F1"/>
    <w:rsid w:val="3D1B534C"/>
    <w:rsid w:val="3D1F7D74"/>
    <w:rsid w:val="3DBF40A9"/>
    <w:rsid w:val="3DCC11BC"/>
    <w:rsid w:val="3DFD6C6A"/>
    <w:rsid w:val="3DFF227A"/>
    <w:rsid w:val="3E0F3390"/>
    <w:rsid w:val="3E1753C7"/>
    <w:rsid w:val="3E432AAE"/>
    <w:rsid w:val="3E587BDC"/>
    <w:rsid w:val="3E704F26"/>
    <w:rsid w:val="3E715474"/>
    <w:rsid w:val="3E88226F"/>
    <w:rsid w:val="3E8E2328"/>
    <w:rsid w:val="3EFFD4FA"/>
    <w:rsid w:val="3F182C56"/>
    <w:rsid w:val="3F257F53"/>
    <w:rsid w:val="3F6A1F03"/>
    <w:rsid w:val="3F7F73E1"/>
    <w:rsid w:val="3F870465"/>
    <w:rsid w:val="3FAD2120"/>
    <w:rsid w:val="3FAE21A9"/>
    <w:rsid w:val="3FBA64A7"/>
    <w:rsid w:val="3FC419CD"/>
    <w:rsid w:val="3FCD34EB"/>
    <w:rsid w:val="3FE93E94"/>
    <w:rsid w:val="3FEF559F"/>
    <w:rsid w:val="3FFE44D9"/>
    <w:rsid w:val="404203D7"/>
    <w:rsid w:val="40662321"/>
    <w:rsid w:val="406B3BF6"/>
    <w:rsid w:val="409A272E"/>
    <w:rsid w:val="40A71A1E"/>
    <w:rsid w:val="40CB1D5D"/>
    <w:rsid w:val="40D41666"/>
    <w:rsid w:val="40D9123A"/>
    <w:rsid w:val="4100003C"/>
    <w:rsid w:val="41066FE6"/>
    <w:rsid w:val="412000C8"/>
    <w:rsid w:val="41611C76"/>
    <w:rsid w:val="41DD72D9"/>
    <w:rsid w:val="41F036CF"/>
    <w:rsid w:val="4232655E"/>
    <w:rsid w:val="423F1080"/>
    <w:rsid w:val="424F3F3D"/>
    <w:rsid w:val="426D315F"/>
    <w:rsid w:val="428F5873"/>
    <w:rsid w:val="42A653BA"/>
    <w:rsid w:val="42AA3266"/>
    <w:rsid w:val="42AD60AD"/>
    <w:rsid w:val="42F111FC"/>
    <w:rsid w:val="432C76C6"/>
    <w:rsid w:val="43351A09"/>
    <w:rsid w:val="43386FDC"/>
    <w:rsid w:val="43693E7D"/>
    <w:rsid w:val="43840BF3"/>
    <w:rsid w:val="43920D8B"/>
    <w:rsid w:val="43CF48BB"/>
    <w:rsid w:val="43D1290A"/>
    <w:rsid w:val="4451145C"/>
    <w:rsid w:val="44515096"/>
    <w:rsid w:val="445464F8"/>
    <w:rsid w:val="446C2E6B"/>
    <w:rsid w:val="447141EE"/>
    <w:rsid w:val="448A32AC"/>
    <w:rsid w:val="449944E9"/>
    <w:rsid w:val="44A614FF"/>
    <w:rsid w:val="450817E2"/>
    <w:rsid w:val="450A3D3A"/>
    <w:rsid w:val="45163C51"/>
    <w:rsid w:val="45316BB2"/>
    <w:rsid w:val="454C59E8"/>
    <w:rsid w:val="45535B1C"/>
    <w:rsid w:val="45664B71"/>
    <w:rsid w:val="456F68F7"/>
    <w:rsid w:val="45A7539A"/>
    <w:rsid w:val="45F36B68"/>
    <w:rsid w:val="45F502D4"/>
    <w:rsid w:val="460743C1"/>
    <w:rsid w:val="462179F6"/>
    <w:rsid w:val="46351C88"/>
    <w:rsid w:val="46455CDF"/>
    <w:rsid w:val="466630EA"/>
    <w:rsid w:val="466A58CB"/>
    <w:rsid w:val="46A82DEF"/>
    <w:rsid w:val="46B4227E"/>
    <w:rsid w:val="46D92D4F"/>
    <w:rsid w:val="470609F2"/>
    <w:rsid w:val="47075DCC"/>
    <w:rsid w:val="473A212D"/>
    <w:rsid w:val="47422493"/>
    <w:rsid w:val="475934D2"/>
    <w:rsid w:val="47664DE0"/>
    <w:rsid w:val="4780636A"/>
    <w:rsid w:val="47BA3151"/>
    <w:rsid w:val="483D0E2E"/>
    <w:rsid w:val="48462CB4"/>
    <w:rsid w:val="4851078A"/>
    <w:rsid w:val="48696373"/>
    <w:rsid w:val="48765122"/>
    <w:rsid w:val="48815749"/>
    <w:rsid w:val="4894037D"/>
    <w:rsid w:val="48974AD1"/>
    <w:rsid w:val="489A7EED"/>
    <w:rsid w:val="48A95E3B"/>
    <w:rsid w:val="48AD4C8A"/>
    <w:rsid w:val="48C6166E"/>
    <w:rsid w:val="48CC18F2"/>
    <w:rsid w:val="48D11AB6"/>
    <w:rsid w:val="48F14EB5"/>
    <w:rsid w:val="49033566"/>
    <w:rsid w:val="49206E0D"/>
    <w:rsid w:val="49334FD9"/>
    <w:rsid w:val="49423D2E"/>
    <w:rsid w:val="49532373"/>
    <w:rsid w:val="4981092F"/>
    <w:rsid w:val="498B7A7D"/>
    <w:rsid w:val="499B7372"/>
    <w:rsid w:val="49AD544B"/>
    <w:rsid w:val="49AE449B"/>
    <w:rsid w:val="49B70F3F"/>
    <w:rsid w:val="49E05655"/>
    <w:rsid w:val="49EB5E87"/>
    <w:rsid w:val="49FB6C2E"/>
    <w:rsid w:val="4A143595"/>
    <w:rsid w:val="4A235B57"/>
    <w:rsid w:val="4A3D7CB0"/>
    <w:rsid w:val="4A5B4CDC"/>
    <w:rsid w:val="4A893692"/>
    <w:rsid w:val="4AC36BA3"/>
    <w:rsid w:val="4AE922E8"/>
    <w:rsid w:val="4AF427B6"/>
    <w:rsid w:val="4AF56EDE"/>
    <w:rsid w:val="4AFF21FB"/>
    <w:rsid w:val="4B007631"/>
    <w:rsid w:val="4B221F0E"/>
    <w:rsid w:val="4B370F67"/>
    <w:rsid w:val="4B4F5472"/>
    <w:rsid w:val="4B985ABC"/>
    <w:rsid w:val="4BAB45FA"/>
    <w:rsid w:val="4BC92943"/>
    <w:rsid w:val="4BDC0C2B"/>
    <w:rsid w:val="4BEC7F7D"/>
    <w:rsid w:val="4BED4C5F"/>
    <w:rsid w:val="4BFB2271"/>
    <w:rsid w:val="4C0560C1"/>
    <w:rsid w:val="4C126E65"/>
    <w:rsid w:val="4C1800C1"/>
    <w:rsid w:val="4C1C1F8D"/>
    <w:rsid w:val="4C3A6FB8"/>
    <w:rsid w:val="4C623ED1"/>
    <w:rsid w:val="4C89771F"/>
    <w:rsid w:val="4C9C7C7B"/>
    <w:rsid w:val="4CE216E4"/>
    <w:rsid w:val="4CFA088B"/>
    <w:rsid w:val="4D1A6C05"/>
    <w:rsid w:val="4D2515D1"/>
    <w:rsid w:val="4D4D5B2F"/>
    <w:rsid w:val="4D676DA5"/>
    <w:rsid w:val="4D956BD4"/>
    <w:rsid w:val="4D990003"/>
    <w:rsid w:val="4DAA10A4"/>
    <w:rsid w:val="4DE02876"/>
    <w:rsid w:val="4E0062C6"/>
    <w:rsid w:val="4E1C6E78"/>
    <w:rsid w:val="4E2F6400"/>
    <w:rsid w:val="4E364146"/>
    <w:rsid w:val="4E4168DE"/>
    <w:rsid w:val="4E5B4996"/>
    <w:rsid w:val="4E642256"/>
    <w:rsid w:val="4E794E79"/>
    <w:rsid w:val="4E7C3473"/>
    <w:rsid w:val="4E816CDB"/>
    <w:rsid w:val="4E9609D8"/>
    <w:rsid w:val="4EBA6428"/>
    <w:rsid w:val="4EBC4EA3"/>
    <w:rsid w:val="4ED218A3"/>
    <w:rsid w:val="4ED35615"/>
    <w:rsid w:val="4EE6251D"/>
    <w:rsid w:val="4EF56E5A"/>
    <w:rsid w:val="4EF76274"/>
    <w:rsid w:val="4F120374"/>
    <w:rsid w:val="4F5FB0D2"/>
    <w:rsid w:val="4F631640"/>
    <w:rsid w:val="4F6D477C"/>
    <w:rsid w:val="4F7725B8"/>
    <w:rsid w:val="4FB0589F"/>
    <w:rsid w:val="4FBA06F6"/>
    <w:rsid w:val="4FBA4253"/>
    <w:rsid w:val="4FBB2493"/>
    <w:rsid w:val="4FD33566"/>
    <w:rsid w:val="4FF52EC4"/>
    <w:rsid w:val="50122B4B"/>
    <w:rsid w:val="50284215"/>
    <w:rsid w:val="50456157"/>
    <w:rsid w:val="507E1724"/>
    <w:rsid w:val="508B3DBF"/>
    <w:rsid w:val="509268F9"/>
    <w:rsid w:val="509E3508"/>
    <w:rsid w:val="50E2655F"/>
    <w:rsid w:val="50FD3623"/>
    <w:rsid w:val="510425C5"/>
    <w:rsid w:val="510C4F82"/>
    <w:rsid w:val="5116569E"/>
    <w:rsid w:val="5119144D"/>
    <w:rsid w:val="513628D6"/>
    <w:rsid w:val="51392DEC"/>
    <w:rsid w:val="513A5EC1"/>
    <w:rsid w:val="514209A3"/>
    <w:rsid w:val="514531EA"/>
    <w:rsid w:val="515B5390"/>
    <w:rsid w:val="517B2107"/>
    <w:rsid w:val="51AA35DB"/>
    <w:rsid w:val="51B61491"/>
    <w:rsid w:val="51B84B02"/>
    <w:rsid w:val="51CB1A3F"/>
    <w:rsid w:val="51D87C8D"/>
    <w:rsid w:val="51EB7999"/>
    <w:rsid w:val="520B0E34"/>
    <w:rsid w:val="52263E21"/>
    <w:rsid w:val="523301DD"/>
    <w:rsid w:val="52990A97"/>
    <w:rsid w:val="52AE0BFB"/>
    <w:rsid w:val="53046313"/>
    <w:rsid w:val="53206C83"/>
    <w:rsid w:val="53351712"/>
    <w:rsid w:val="533D58C6"/>
    <w:rsid w:val="533E374D"/>
    <w:rsid w:val="535C040E"/>
    <w:rsid w:val="53750A9B"/>
    <w:rsid w:val="537E15BF"/>
    <w:rsid w:val="53AC0356"/>
    <w:rsid w:val="53B762F2"/>
    <w:rsid w:val="53C52089"/>
    <w:rsid w:val="540A4BAA"/>
    <w:rsid w:val="5417676A"/>
    <w:rsid w:val="542A5C98"/>
    <w:rsid w:val="545665E0"/>
    <w:rsid w:val="545C1D7C"/>
    <w:rsid w:val="545D2117"/>
    <w:rsid w:val="548369E6"/>
    <w:rsid w:val="548E2DCF"/>
    <w:rsid w:val="54992FD0"/>
    <w:rsid w:val="54EE69EB"/>
    <w:rsid w:val="55052414"/>
    <w:rsid w:val="550D6E75"/>
    <w:rsid w:val="555E55F6"/>
    <w:rsid w:val="55711BFF"/>
    <w:rsid w:val="55800F46"/>
    <w:rsid w:val="55DE3323"/>
    <w:rsid w:val="55FA48E5"/>
    <w:rsid w:val="56156687"/>
    <w:rsid w:val="565D3B8A"/>
    <w:rsid w:val="568F46B9"/>
    <w:rsid w:val="569723C6"/>
    <w:rsid w:val="569C381C"/>
    <w:rsid w:val="56D57BC4"/>
    <w:rsid w:val="56F95FA8"/>
    <w:rsid w:val="57041640"/>
    <w:rsid w:val="572215B9"/>
    <w:rsid w:val="572271C7"/>
    <w:rsid w:val="57486B51"/>
    <w:rsid w:val="57541E99"/>
    <w:rsid w:val="575907F5"/>
    <w:rsid w:val="575C1F4C"/>
    <w:rsid w:val="57934B2C"/>
    <w:rsid w:val="579D536B"/>
    <w:rsid w:val="57CB0358"/>
    <w:rsid w:val="57EA0D02"/>
    <w:rsid w:val="57EA277A"/>
    <w:rsid w:val="57FB4651"/>
    <w:rsid w:val="581E35B5"/>
    <w:rsid w:val="581F37ED"/>
    <w:rsid w:val="58412267"/>
    <w:rsid w:val="58472D43"/>
    <w:rsid w:val="5853259A"/>
    <w:rsid w:val="58737694"/>
    <w:rsid w:val="587E7611"/>
    <w:rsid w:val="58AD2046"/>
    <w:rsid w:val="58AE4B70"/>
    <w:rsid w:val="58B71C77"/>
    <w:rsid w:val="58C919AA"/>
    <w:rsid w:val="58C95E12"/>
    <w:rsid w:val="58D53411"/>
    <w:rsid w:val="58F9770B"/>
    <w:rsid w:val="58FE12B9"/>
    <w:rsid w:val="590429E2"/>
    <w:rsid w:val="5916087A"/>
    <w:rsid w:val="594A1E7B"/>
    <w:rsid w:val="595A4F8D"/>
    <w:rsid w:val="595C1326"/>
    <w:rsid w:val="5960593D"/>
    <w:rsid w:val="5967369D"/>
    <w:rsid w:val="59F316C9"/>
    <w:rsid w:val="59F63460"/>
    <w:rsid w:val="5A036E46"/>
    <w:rsid w:val="5A081A55"/>
    <w:rsid w:val="5A1A190F"/>
    <w:rsid w:val="5A1E6660"/>
    <w:rsid w:val="5A614795"/>
    <w:rsid w:val="5A9B2D32"/>
    <w:rsid w:val="5ABD42A1"/>
    <w:rsid w:val="5B264E92"/>
    <w:rsid w:val="5B28752C"/>
    <w:rsid w:val="5B455E20"/>
    <w:rsid w:val="5B497EA7"/>
    <w:rsid w:val="5B4F547E"/>
    <w:rsid w:val="5B827EC5"/>
    <w:rsid w:val="5B897577"/>
    <w:rsid w:val="5BA879BF"/>
    <w:rsid w:val="5BA929E0"/>
    <w:rsid w:val="5BB205A0"/>
    <w:rsid w:val="5BD35D17"/>
    <w:rsid w:val="5BF24B32"/>
    <w:rsid w:val="5C1E3DBB"/>
    <w:rsid w:val="5C523987"/>
    <w:rsid w:val="5C584A40"/>
    <w:rsid w:val="5C6B16B5"/>
    <w:rsid w:val="5C70454F"/>
    <w:rsid w:val="5C7B543B"/>
    <w:rsid w:val="5C8375F4"/>
    <w:rsid w:val="5C886F6E"/>
    <w:rsid w:val="5C943699"/>
    <w:rsid w:val="5CA40764"/>
    <w:rsid w:val="5CA922B4"/>
    <w:rsid w:val="5D021EC6"/>
    <w:rsid w:val="5D092F30"/>
    <w:rsid w:val="5D0F2AC3"/>
    <w:rsid w:val="5D802FF1"/>
    <w:rsid w:val="5D8A43DE"/>
    <w:rsid w:val="5D8D744A"/>
    <w:rsid w:val="5DAF4487"/>
    <w:rsid w:val="5DB72AF4"/>
    <w:rsid w:val="5DBD18F0"/>
    <w:rsid w:val="5DC5325C"/>
    <w:rsid w:val="5E337655"/>
    <w:rsid w:val="5E397057"/>
    <w:rsid w:val="5E454830"/>
    <w:rsid w:val="5E7167CF"/>
    <w:rsid w:val="5E8D0EBA"/>
    <w:rsid w:val="5E956FD9"/>
    <w:rsid w:val="5EA26F25"/>
    <w:rsid w:val="5EEEF4C8"/>
    <w:rsid w:val="5EFF662C"/>
    <w:rsid w:val="5F2D7732"/>
    <w:rsid w:val="5F317E9F"/>
    <w:rsid w:val="5F385194"/>
    <w:rsid w:val="5F41673E"/>
    <w:rsid w:val="5F680AE2"/>
    <w:rsid w:val="5FBC7B73"/>
    <w:rsid w:val="5FC621D1"/>
    <w:rsid w:val="5FEF80A3"/>
    <w:rsid w:val="5FFF5FA0"/>
    <w:rsid w:val="602A19A2"/>
    <w:rsid w:val="604451F0"/>
    <w:rsid w:val="6045223F"/>
    <w:rsid w:val="606C348F"/>
    <w:rsid w:val="608D4391"/>
    <w:rsid w:val="60962704"/>
    <w:rsid w:val="609E048F"/>
    <w:rsid w:val="60D64C64"/>
    <w:rsid w:val="60DB671F"/>
    <w:rsid w:val="6108496B"/>
    <w:rsid w:val="612123BF"/>
    <w:rsid w:val="6122434D"/>
    <w:rsid w:val="61467271"/>
    <w:rsid w:val="615354E8"/>
    <w:rsid w:val="61646714"/>
    <w:rsid w:val="616C42C1"/>
    <w:rsid w:val="618A1630"/>
    <w:rsid w:val="61993135"/>
    <w:rsid w:val="619E1C26"/>
    <w:rsid w:val="61E22378"/>
    <w:rsid w:val="61E40D66"/>
    <w:rsid w:val="61F632B1"/>
    <w:rsid w:val="6211632B"/>
    <w:rsid w:val="62800CC1"/>
    <w:rsid w:val="62A36850"/>
    <w:rsid w:val="62A8188B"/>
    <w:rsid w:val="62DE46D5"/>
    <w:rsid w:val="62E55633"/>
    <w:rsid w:val="63007FD0"/>
    <w:rsid w:val="63091321"/>
    <w:rsid w:val="631B2E02"/>
    <w:rsid w:val="63371A31"/>
    <w:rsid w:val="63374D7A"/>
    <w:rsid w:val="635A6BFF"/>
    <w:rsid w:val="63773918"/>
    <w:rsid w:val="63830B2E"/>
    <w:rsid w:val="63996A94"/>
    <w:rsid w:val="63AA5232"/>
    <w:rsid w:val="63BD2C5E"/>
    <w:rsid w:val="63BF40D6"/>
    <w:rsid w:val="63C743E1"/>
    <w:rsid w:val="63D23949"/>
    <w:rsid w:val="63E17233"/>
    <w:rsid w:val="64075DA7"/>
    <w:rsid w:val="642F5825"/>
    <w:rsid w:val="643663DD"/>
    <w:rsid w:val="64627EF0"/>
    <w:rsid w:val="649F7B6A"/>
    <w:rsid w:val="64D11E74"/>
    <w:rsid w:val="64DA2F67"/>
    <w:rsid w:val="64DB3758"/>
    <w:rsid w:val="64EF6B6A"/>
    <w:rsid w:val="651B1EB0"/>
    <w:rsid w:val="651E15D5"/>
    <w:rsid w:val="652C28D7"/>
    <w:rsid w:val="652F2029"/>
    <w:rsid w:val="65377CCF"/>
    <w:rsid w:val="653B4950"/>
    <w:rsid w:val="658921A3"/>
    <w:rsid w:val="65CD0E4F"/>
    <w:rsid w:val="65E362B1"/>
    <w:rsid w:val="66021487"/>
    <w:rsid w:val="660A580A"/>
    <w:rsid w:val="662901DB"/>
    <w:rsid w:val="663159A3"/>
    <w:rsid w:val="66983164"/>
    <w:rsid w:val="66A41791"/>
    <w:rsid w:val="66B134B7"/>
    <w:rsid w:val="66BD6F7D"/>
    <w:rsid w:val="66C16522"/>
    <w:rsid w:val="66D63C10"/>
    <w:rsid w:val="66DE5A4A"/>
    <w:rsid w:val="66F94718"/>
    <w:rsid w:val="67037B10"/>
    <w:rsid w:val="67302F6D"/>
    <w:rsid w:val="674170AE"/>
    <w:rsid w:val="67420D85"/>
    <w:rsid w:val="67870036"/>
    <w:rsid w:val="67B130F8"/>
    <w:rsid w:val="67B42651"/>
    <w:rsid w:val="67B657F0"/>
    <w:rsid w:val="67CA2343"/>
    <w:rsid w:val="67CA36AF"/>
    <w:rsid w:val="67CC2A37"/>
    <w:rsid w:val="67D94E7A"/>
    <w:rsid w:val="67FC1454"/>
    <w:rsid w:val="68212C69"/>
    <w:rsid w:val="683F1E6C"/>
    <w:rsid w:val="68451259"/>
    <w:rsid w:val="684D24AA"/>
    <w:rsid w:val="68E36170"/>
    <w:rsid w:val="68EE112E"/>
    <w:rsid w:val="690359D6"/>
    <w:rsid w:val="696214F0"/>
    <w:rsid w:val="69726E8D"/>
    <w:rsid w:val="69880E89"/>
    <w:rsid w:val="69905E3F"/>
    <w:rsid w:val="69D32689"/>
    <w:rsid w:val="69ED1D7F"/>
    <w:rsid w:val="69F1144D"/>
    <w:rsid w:val="6A4E4D7B"/>
    <w:rsid w:val="6A8B4D12"/>
    <w:rsid w:val="6AAC6CEE"/>
    <w:rsid w:val="6AB471DA"/>
    <w:rsid w:val="6AD360C7"/>
    <w:rsid w:val="6AF62438"/>
    <w:rsid w:val="6B361121"/>
    <w:rsid w:val="6B3FD806"/>
    <w:rsid w:val="6B5B69A5"/>
    <w:rsid w:val="6B7026A3"/>
    <w:rsid w:val="6B882474"/>
    <w:rsid w:val="6BD7ADE1"/>
    <w:rsid w:val="6BDC0550"/>
    <w:rsid w:val="6C787517"/>
    <w:rsid w:val="6C8E6D3B"/>
    <w:rsid w:val="6CA92885"/>
    <w:rsid w:val="6CAB2B65"/>
    <w:rsid w:val="6CEB1115"/>
    <w:rsid w:val="6CF748E0"/>
    <w:rsid w:val="6D0970CA"/>
    <w:rsid w:val="6D7246B3"/>
    <w:rsid w:val="6D79922A"/>
    <w:rsid w:val="6DB95521"/>
    <w:rsid w:val="6DBE0181"/>
    <w:rsid w:val="6DC4250C"/>
    <w:rsid w:val="6DFFA537"/>
    <w:rsid w:val="6E032E11"/>
    <w:rsid w:val="6E1E1847"/>
    <w:rsid w:val="6E2518B4"/>
    <w:rsid w:val="6E2B0775"/>
    <w:rsid w:val="6E361438"/>
    <w:rsid w:val="6E424713"/>
    <w:rsid w:val="6E471088"/>
    <w:rsid w:val="6E7D7067"/>
    <w:rsid w:val="6EAC0F98"/>
    <w:rsid w:val="6EAD7F2D"/>
    <w:rsid w:val="6EB32326"/>
    <w:rsid w:val="6EC622CE"/>
    <w:rsid w:val="6EE661B0"/>
    <w:rsid w:val="6EF158DD"/>
    <w:rsid w:val="6F181B9B"/>
    <w:rsid w:val="6F193617"/>
    <w:rsid w:val="6F411AFF"/>
    <w:rsid w:val="6F523469"/>
    <w:rsid w:val="6F5935CD"/>
    <w:rsid w:val="6FAD572A"/>
    <w:rsid w:val="6FAF5309"/>
    <w:rsid w:val="6FBEF8A8"/>
    <w:rsid w:val="6FCF5BB8"/>
    <w:rsid w:val="6FE77B37"/>
    <w:rsid w:val="6FF11ABB"/>
    <w:rsid w:val="6FF705CB"/>
    <w:rsid w:val="7019253F"/>
    <w:rsid w:val="705478DF"/>
    <w:rsid w:val="7071314B"/>
    <w:rsid w:val="70891CF3"/>
    <w:rsid w:val="70A22DB5"/>
    <w:rsid w:val="70A27DBB"/>
    <w:rsid w:val="70B26904"/>
    <w:rsid w:val="70C57CAD"/>
    <w:rsid w:val="70C803DB"/>
    <w:rsid w:val="70CA4961"/>
    <w:rsid w:val="70CF7FF0"/>
    <w:rsid w:val="70D4528D"/>
    <w:rsid w:val="70DC2D11"/>
    <w:rsid w:val="70FA226D"/>
    <w:rsid w:val="71086DC7"/>
    <w:rsid w:val="71CE6595"/>
    <w:rsid w:val="71DA7FC6"/>
    <w:rsid w:val="721F4B03"/>
    <w:rsid w:val="7222299C"/>
    <w:rsid w:val="723206DA"/>
    <w:rsid w:val="725B7AB2"/>
    <w:rsid w:val="72904641"/>
    <w:rsid w:val="72AB4B0E"/>
    <w:rsid w:val="72CA0103"/>
    <w:rsid w:val="72CB03A1"/>
    <w:rsid w:val="72D64C0A"/>
    <w:rsid w:val="72E33D64"/>
    <w:rsid w:val="73027C89"/>
    <w:rsid w:val="730572F5"/>
    <w:rsid w:val="735B79A8"/>
    <w:rsid w:val="7376BCBD"/>
    <w:rsid w:val="73857529"/>
    <w:rsid w:val="73964AEE"/>
    <w:rsid w:val="73972979"/>
    <w:rsid w:val="73A62459"/>
    <w:rsid w:val="73B726D3"/>
    <w:rsid w:val="73C05EBC"/>
    <w:rsid w:val="73E442FB"/>
    <w:rsid w:val="742333AE"/>
    <w:rsid w:val="74686AA8"/>
    <w:rsid w:val="74881E77"/>
    <w:rsid w:val="748922C2"/>
    <w:rsid w:val="74BF5CE3"/>
    <w:rsid w:val="74F16C95"/>
    <w:rsid w:val="74F45E98"/>
    <w:rsid w:val="75116475"/>
    <w:rsid w:val="751417F5"/>
    <w:rsid w:val="75713A1D"/>
    <w:rsid w:val="759D4571"/>
    <w:rsid w:val="75B9110C"/>
    <w:rsid w:val="75B94E29"/>
    <w:rsid w:val="75C80449"/>
    <w:rsid w:val="75D4480F"/>
    <w:rsid w:val="75F76B70"/>
    <w:rsid w:val="76015597"/>
    <w:rsid w:val="7639429B"/>
    <w:rsid w:val="763E6505"/>
    <w:rsid w:val="7677D799"/>
    <w:rsid w:val="768A40CF"/>
    <w:rsid w:val="76955097"/>
    <w:rsid w:val="769A6D9B"/>
    <w:rsid w:val="76B558A3"/>
    <w:rsid w:val="76B76861"/>
    <w:rsid w:val="76F9531E"/>
    <w:rsid w:val="76FF686B"/>
    <w:rsid w:val="77314512"/>
    <w:rsid w:val="774F089D"/>
    <w:rsid w:val="77752FD1"/>
    <w:rsid w:val="77954B75"/>
    <w:rsid w:val="77B9255D"/>
    <w:rsid w:val="77C8358B"/>
    <w:rsid w:val="77E0248C"/>
    <w:rsid w:val="77E43CB3"/>
    <w:rsid w:val="77E519E4"/>
    <w:rsid w:val="77F413CA"/>
    <w:rsid w:val="77F612D4"/>
    <w:rsid w:val="781D1429"/>
    <w:rsid w:val="782C7E18"/>
    <w:rsid w:val="784F1A52"/>
    <w:rsid w:val="7861146D"/>
    <w:rsid w:val="78722AC0"/>
    <w:rsid w:val="788F00C3"/>
    <w:rsid w:val="78A033A2"/>
    <w:rsid w:val="78B07898"/>
    <w:rsid w:val="78B4205A"/>
    <w:rsid w:val="78BB07DF"/>
    <w:rsid w:val="790143BA"/>
    <w:rsid w:val="7913466E"/>
    <w:rsid w:val="7924080B"/>
    <w:rsid w:val="797E4167"/>
    <w:rsid w:val="79975481"/>
    <w:rsid w:val="79BE539F"/>
    <w:rsid w:val="79CF14C9"/>
    <w:rsid w:val="79E545EF"/>
    <w:rsid w:val="7A245046"/>
    <w:rsid w:val="7A3A36C9"/>
    <w:rsid w:val="7A4878EB"/>
    <w:rsid w:val="7A540C7C"/>
    <w:rsid w:val="7AA83AAD"/>
    <w:rsid w:val="7ACA3634"/>
    <w:rsid w:val="7AD03D5A"/>
    <w:rsid w:val="7AE75F94"/>
    <w:rsid w:val="7AF35E0E"/>
    <w:rsid w:val="7B0962AA"/>
    <w:rsid w:val="7B574616"/>
    <w:rsid w:val="7B5F72E3"/>
    <w:rsid w:val="7BAF54A1"/>
    <w:rsid w:val="7BFD4DFD"/>
    <w:rsid w:val="7C367FA4"/>
    <w:rsid w:val="7C8A307B"/>
    <w:rsid w:val="7CB43C54"/>
    <w:rsid w:val="7CB52A37"/>
    <w:rsid w:val="7CB71996"/>
    <w:rsid w:val="7CC35E8A"/>
    <w:rsid w:val="7CEA1D6C"/>
    <w:rsid w:val="7CF257A8"/>
    <w:rsid w:val="7D032A17"/>
    <w:rsid w:val="7D146DE8"/>
    <w:rsid w:val="7D440864"/>
    <w:rsid w:val="7D587768"/>
    <w:rsid w:val="7D764E0E"/>
    <w:rsid w:val="7D7E4262"/>
    <w:rsid w:val="7D80447E"/>
    <w:rsid w:val="7DA97107"/>
    <w:rsid w:val="7DB810CB"/>
    <w:rsid w:val="7DBF054D"/>
    <w:rsid w:val="7DC66392"/>
    <w:rsid w:val="7DD81BC4"/>
    <w:rsid w:val="7DE569C4"/>
    <w:rsid w:val="7DF76526"/>
    <w:rsid w:val="7DFE33BD"/>
    <w:rsid w:val="7E0806FB"/>
    <w:rsid w:val="7E224DD2"/>
    <w:rsid w:val="7E3908A6"/>
    <w:rsid w:val="7E3E4045"/>
    <w:rsid w:val="7E6A65D4"/>
    <w:rsid w:val="7E7C72E0"/>
    <w:rsid w:val="7E865361"/>
    <w:rsid w:val="7E970168"/>
    <w:rsid w:val="7EEB31EF"/>
    <w:rsid w:val="7EF944E8"/>
    <w:rsid w:val="7F006C4C"/>
    <w:rsid w:val="7F0215EE"/>
    <w:rsid w:val="7F192494"/>
    <w:rsid w:val="7F1BA6C4"/>
    <w:rsid w:val="7F21503E"/>
    <w:rsid w:val="7F250074"/>
    <w:rsid w:val="7F294E83"/>
    <w:rsid w:val="7F420DAD"/>
    <w:rsid w:val="7F434F41"/>
    <w:rsid w:val="7F9947BC"/>
    <w:rsid w:val="7FB12C37"/>
    <w:rsid w:val="7FB44C49"/>
    <w:rsid w:val="7FC95C68"/>
    <w:rsid w:val="7FFD1862"/>
    <w:rsid w:val="9EFA7246"/>
    <w:rsid w:val="A396D683"/>
    <w:rsid w:val="A7B61C21"/>
    <w:rsid w:val="AEBA2A9F"/>
    <w:rsid w:val="AEF78801"/>
    <w:rsid w:val="B6A34008"/>
    <w:rsid w:val="BA60D71B"/>
    <w:rsid w:val="BF3D94E0"/>
    <w:rsid w:val="BF773982"/>
    <w:rsid w:val="C4EFF768"/>
    <w:rsid w:val="CFFE3782"/>
    <w:rsid w:val="D37E5A57"/>
    <w:rsid w:val="D5FF13CE"/>
    <w:rsid w:val="D7BFE5D5"/>
    <w:rsid w:val="DD37FD55"/>
    <w:rsid w:val="E2EF4BEA"/>
    <w:rsid w:val="EB63CC57"/>
    <w:rsid w:val="EFEDE099"/>
    <w:rsid w:val="EFFD8797"/>
    <w:rsid w:val="EFFF854A"/>
    <w:rsid w:val="F1FC09B9"/>
    <w:rsid w:val="F2DFD2C8"/>
    <w:rsid w:val="F5577BCA"/>
    <w:rsid w:val="F6F99B55"/>
    <w:rsid w:val="F744ADA4"/>
    <w:rsid w:val="F7FF6479"/>
    <w:rsid w:val="FA6D1340"/>
    <w:rsid w:val="FBB522E9"/>
    <w:rsid w:val="FCEE8B28"/>
    <w:rsid w:val="FF2E8F77"/>
    <w:rsid w:val="FFC4108D"/>
    <w:rsid w:val="FFCEA696"/>
    <w:rsid w:val="FFD75D4D"/>
    <w:rsid w:val="FFDFB4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qFormat="1" w:unhideWhenUsed="0" w:uiPriority="0" w:semiHidden="0"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8">
    <w:name w:val="Default Paragraph Font"/>
    <w:semiHidden/>
    <w:unhideWhenUsed/>
    <w:qFormat/>
    <w:uiPriority w:val="1"/>
  </w:style>
  <w:style w:type="table" w:default="1" w:styleId="2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table of authorities"/>
    <w:basedOn w:val="1"/>
    <w:next w:val="1"/>
    <w:unhideWhenUsed/>
    <w:qFormat/>
    <w:uiPriority w:val="99"/>
    <w:pPr>
      <w:ind w:left="420" w:leftChars="200"/>
    </w:pPr>
  </w:style>
  <w:style w:type="paragraph" w:styleId="6">
    <w:name w:val="Normal Indent"/>
    <w:basedOn w:val="1"/>
    <w:qFormat/>
    <w:uiPriority w:val="99"/>
    <w:pPr>
      <w:autoSpaceDE/>
      <w:autoSpaceDN/>
      <w:adjustRightInd/>
      <w:ind w:firstLine="420"/>
      <w:jc w:val="both"/>
      <w:textAlignment w:val="auto"/>
    </w:pPr>
    <w:rPr>
      <w:rFonts w:ascii="Times New Roman"/>
      <w:kern w:val="2"/>
      <w:sz w:val="21"/>
    </w:rPr>
  </w:style>
  <w:style w:type="paragraph" w:styleId="7">
    <w:name w:val="Document Map"/>
    <w:basedOn w:val="1"/>
    <w:link w:val="35"/>
    <w:semiHidden/>
    <w:unhideWhenUsed/>
    <w:qFormat/>
    <w:uiPriority w:val="99"/>
    <w:rPr>
      <w:rFonts w:ascii="宋体" w:eastAsia="宋体"/>
      <w:sz w:val="18"/>
      <w:szCs w:val="18"/>
    </w:rPr>
  </w:style>
  <w:style w:type="paragraph" w:styleId="8">
    <w:name w:val="toa heading"/>
    <w:basedOn w:val="1"/>
    <w:next w:val="1"/>
    <w:semiHidden/>
    <w:qFormat/>
    <w:uiPriority w:val="0"/>
    <w:pPr>
      <w:spacing w:before="120"/>
    </w:pPr>
    <w:rPr>
      <w:rFonts w:ascii="Arial" w:hAnsi="Arial" w:cs="Arial"/>
      <w:sz w:val="24"/>
      <w:szCs w:val="24"/>
    </w:rPr>
  </w:style>
  <w:style w:type="paragraph" w:styleId="9">
    <w:name w:val="Body Text 3"/>
    <w:basedOn w:val="1"/>
    <w:next w:val="10"/>
    <w:qFormat/>
    <w:uiPriority w:val="0"/>
    <w:pPr>
      <w:jc w:val="center"/>
      <w:outlineLvl w:val="0"/>
    </w:pPr>
    <w:rPr>
      <w:rFonts w:ascii="楷体_GB2312"/>
      <w:sz w:val="21"/>
      <w:szCs w:val="20"/>
    </w:rPr>
  </w:style>
  <w:style w:type="paragraph" w:styleId="10">
    <w:name w:val="toc 8"/>
    <w:basedOn w:val="1"/>
    <w:next w:val="1"/>
    <w:qFormat/>
    <w:uiPriority w:val="0"/>
    <w:pPr>
      <w:spacing w:line="360" w:lineRule="auto"/>
      <w:ind w:left="2940" w:leftChars="1400" w:firstLine="480" w:firstLineChars="200"/>
    </w:pPr>
    <w:rPr>
      <w:rFonts w:ascii="宋体"/>
      <w:sz w:val="24"/>
      <w:szCs w:val="24"/>
    </w:rPr>
  </w:style>
  <w:style w:type="paragraph" w:styleId="11">
    <w:name w:val="Body Text"/>
    <w:basedOn w:val="1"/>
    <w:next w:val="12"/>
    <w:qFormat/>
    <w:uiPriority w:val="0"/>
    <w:pPr>
      <w:spacing w:after="120" w:afterLines="0"/>
    </w:pPr>
  </w:style>
  <w:style w:type="paragraph" w:styleId="12">
    <w:name w:val="Body Text Indent"/>
    <w:basedOn w:val="1"/>
    <w:next w:val="1"/>
    <w:qFormat/>
    <w:uiPriority w:val="0"/>
    <w:pPr>
      <w:spacing w:line="500" w:lineRule="exact"/>
      <w:ind w:left="1588" w:leftChars="832" w:firstLine="433" w:firstLineChars="196"/>
    </w:pPr>
    <w:rPr>
      <w:sz w:val="24"/>
    </w:rPr>
  </w:style>
  <w:style w:type="paragraph" w:styleId="13">
    <w:name w:val="List 2"/>
    <w:basedOn w:val="1"/>
    <w:qFormat/>
    <w:uiPriority w:val="99"/>
    <w:pPr>
      <w:ind w:left="100" w:leftChars="200" w:hanging="200" w:hangingChars="200"/>
    </w:pPr>
  </w:style>
  <w:style w:type="paragraph" w:styleId="14">
    <w:name w:val="Block Text"/>
    <w:basedOn w:val="1"/>
    <w:unhideWhenUsed/>
    <w:qFormat/>
    <w:uiPriority w:val="99"/>
    <w:pPr>
      <w:spacing w:after="120"/>
      <w:ind w:left="1440" w:leftChars="700" w:right="1440" w:rightChars="700"/>
    </w:pPr>
  </w:style>
  <w:style w:type="paragraph" w:styleId="15">
    <w:name w:val="Plain Text"/>
    <w:basedOn w:val="1"/>
    <w:qFormat/>
    <w:uiPriority w:val="0"/>
    <w:rPr>
      <w:rFonts w:ascii="宋体" w:hAnsi="Courier New" w:cs="Courier New"/>
      <w:szCs w:val="21"/>
    </w:rPr>
  </w:style>
  <w:style w:type="paragraph" w:styleId="16">
    <w:name w:val="Body Text Indent 2"/>
    <w:basedOn w:val="1"/>
    <w:next w:val="17"/>
    <w:qFormat/>
    <w:uiPriority w:val="0"/>
    <w:pPr>
      <w:spacing w:after="120" w:line="480" w:lineRule="auto"/>
      <w:ind w:left="420" w:leftChars="200"/>
    </w:pPr>
    <w:rPr>
      <w:szCs w:val="20"/>
      <w:lang w:eastAsia="zh-TW"/>
    </w:rPr>
  </w:style>
  <w:style w:type="paragraph" w:styleId="17">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footer"/>
    <w:basedOn w:val="1"/>
    <w:next w:val="11"/>
    <w:link w:val="34"/>
    <w:unhideWhenUsed/>
    <w:qFormat/>
    <w:uiPriority w:val="99"/>
    <w:pPr>
      <w:tabs>
        <w:tab w:val="center" w:pos="4153"/>
        <w:tab w:val="right" w:pos="8306"/>
      </w:tabs>
      <w:snapToGrid w:val="0"/>
      <w:jc w:val="left"/>
    </w:pPr>
    <w:rPr>
      <w:sz w:val="18"/>
      <w:szCs w:val="18"/>
    </w:rPr>
  </w:style>
  <w:style w:type="paragraph" w:styleId="19">
    <w:name w:val="envelope return"/>
    <w:basedOn w:val="1"/>
    <w:qFormat/>
    <w:uiPriority w:val="0"/>
    <w:pPr>
      <w:snapToGrid w:val="0"/>
    </w:pPr>
    <w:rPr>
      <w:rFonts w:ascii="Arial" w:hAnsi="Arial" w:cs="Arial"/>
      <w:sz w:val="21"/>
      <w:szCs w:val="24"/>
    </w:rPr>
  </w:style>
  <w:style w:type="paragraph" w:styleId="20">
    <w:name w:val="Subtitle"/>
    <w:basedOn w:val="1"/>
    <w:next w:val="1"/>
    <w:link w:val="39"/>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21">
    <w:name w:val="Body Text Indent 3"/>
    <w:basedOn w:val="1"/>
    <w:qFormat/>
    <w:uiPriority w:val="0"/>
    <w:pPr>
      <w:keepNext w:val="0"/>
      <w:keepLines w:val="0"/>
      <w:widowControl/>
      <w:suppressLineNumbers w:val="0"/>
      <w:snapToGrid w:val="0"/>
      <w:spacing w:line="600" w:lineRule="exact"/>
      <w:ind w:left="646" w:leftChars="323" w:firstLine="643" w:firstLineChars="200"/>
      <w:jc w:val="both"/>
    </w:pPr>
    <w:rPr>
      <w:rFonts w:hint="default" w:ascii="仿宋_GB2312" w:hAnsi="Times New Roman" w:eastAsia="仿宋_GB2312" w:cs="Times New Roman"/>
      <w:kern w:val="2"/>
      <w:sz w:val="32"/>
      <w:szCs w:val="32"/>
      <w:lang w:val="en-US" w:eastAsia="zh-CN" w:bidi="ar"/>
    </w:rPr>
  </w:style>
  <w:style w:type="paragraph" w:styleId="22">
    <w:name w:val="Normal (Web)"/>
    <w:basedOn w:val="1"/>
    <w:qFormat/>
    <w:uiPriority w:val="0"/>
    <w:pPr>
      <w:widowControl/>
      <w:spacing w:before="100" w:beforeAutospacing="1" w:after="100" w:afterAutospacing="1"/>
      <w:ind w:left="0" w:right="0"/>
      <w:jc w:val="left"/>
    </w:pPr>
    <w:rPr>
      <w:rFonts w:ascii="宋体" w:hAnsi="宋体" w:eastAsia="宋体" w:cs="宋体"/>
      <w:kern w:val="0"/>
      <w:sz w:val="24"/>
      <w:szCs w:val="24"/>
      <w:lang w:val="en-US" w:eastAsia="zh-CN" w:bidi="ar"/>
    </w:rPr>
  </w:style>
  <w:style w:type="paragraph" w:styleId="23">
    <w:name w:val="Title"/>
    <w:basedOn w:val="1"/>
    <w:next w:val="1"/>
    <w:link w:val="38"/>
    <w:qFormat/>
    <w:uiPriority w:val="10"/>
    <w:pPr>
      <w:spacing w:before="240" w:after="60"/>
      <w:jc w:val="center"/>
      <w:outlineLvl w:val="0"/>
    </w:pPr>
    <w:rPr>
      <w:rFonts w:eastAsia="宋体" w:asciiTheme="majorHAnsi" w:hAnsiTheme="majorHAnsi" w:cstheme="majorBidi"/>
      <w:b/>
      <w:bCs/>
      <w:sz w:val="32"/>
      <w:szCs w:val="32"/>
    </w:rPr>
  </w:style>
  <w:style w:type="paragraph" w:styleId="24">
    <w:name w:val="Body Text First Indent"/>
    <w:basedOn w:val="11"/>
    <w:next w:val="1"/>
    <w:qFormat/>
    <w:uiPriority w:val="0"/>
    <w:pPr>
      <w:tabs>
        <w:tab w:val="left" w:pos="0"/>
        <w:tab w:val="left" w:pos="993"/>
        <w:tab w:val="left" w:pos="1134"/>
      </w:tabs>
      <w:ind w:firstLine="420" w:firstLineChars="100"/>
    </w:pPr>
    <w:rPr>
      <w:rFonts w:ascii="宋体" w:hAnsi="宋体" w:cs="Times New Roman"/>
      <w:sz w:val="24"/>
      <w:szCs w:val="24"/>
    </w:rPr>
  </w:style>
  <w:style w:type="paragraph" w:styleId="25">
    <w:name w:val="Body Text First Indent 2"/>
    <w:basedOn w:val="12"/>
    <w:next w:val="1"/>
    <w:qFormat/>
    <w:uiPriority w:val="0"/>
    <w:pPr>
      <w:spacing w:after="120" w:line="240" w:lineRule="auto"/>
      <w:ind w:left="200" w:leftChars="200" w:firstLine="200" w:firstLineChars="2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Hyperlink"/>
    <w:basedOn w:val="28"/>
    <w:qFormat/>
    <w:uiPriority w:val="0"/>
    <w:rPr>
      <w:color w:val="0000FF"/>
      <w:u w:val="single"/>
    </w:rPr>
  </w:style>
  <w:style w:type="paragraph" w:customStyle="1" w:styleId="30">
    <w:name w:val="列出段落11"/>
    <w:basedOn w:val="1"/>
    <w:qFormat/>
    <w:uiPriority w:val="0"/>
    <w:pPr>
      <w:ind w:firstLine="420" w:firstLineChars="200"/>
    </w:pPr>
    <w:rPr>
      <w:rFonts w:ascii="Calibri" w:hAnsi="Calibri"/>
    </w:rPr>
  </w:style>
  <w:style w:type="paragraph" w:customStyle="1" w:styleId="31">
    <w:name w:val="列出段落1"/>
    <w:basedOn w:val="1"/>
    <w:qFormat/>
    <w:uiPriority w:val="99"/>
    <w:pPr>
      <w:ind w:firstLine="420" w:firstLineChars="200"/>
    </w:pPr>
  </w:style>
  <w:style w:type="paragraph" w:customStyle="1" w:styleId="32">
    <w:name w:val="样式 首行缩进:  2 字符"/>
    <w:basedOn w:val="1"/>
    <w:qFormat/>
    <w:uiPriority w:val="0"/>
    <w:pPr>
      <w:spacing w:line="360" w:lineRule="auto"/>
      <w:ind w:firstLine="480" w:firstLineChars="200"/>
      <w:jc w:val="left"/>
    </w:pPr>
    <w:rPr>
      <w:rFonts w:ascii="宋体" w:hAnsi="宋体" w:cs="宋体"/>
      <w:color w:val="000000"/>
      <w:sz w:val="24"/>
      <w:szCs w:val="20"/>
    </w:rPr>
  </w:style>
  <w:style w:type="character" w:customStyle="1" w:styleId="33">
    <w:name w:val="页眉 字符"/>
    <w:basedOn w:val="28"/>
    <w:link w:val="17"/>
    <w:qFormat/>
    <w:uiPriority w:val="99"/>
    <w:rPr>
      <w:sz w:val="18"/>
      <w:szCs w:val="18"/>
    </w:rPr>
  </w:style>
  <w:style w:type="character" w:customStyle="1" w:styleId="34">
    <w:name w:val="页脚 字符"/>
    <w:basedOn w:val="28"/>
    <w:link w:val="18"/>
    <w:qFormat/>
    <w:uiPriority w:val="99"/>
    <w:rPr>
      <w:sz w:val="18"/>
      <w:szCs w:val="18"/>
    </w:rPr>
  </w:style>
  <w:style w:type="character" w:customStyle="1" w:styleId="35">
    <w:name w:val="文档结构图 字符"/>
    <w:basedOn w:val="28"/>
    <w:link w:val="7"/>
    <w:semiHidden/>
    <w:qFormat/>
    <w:uiPriority w:val="99"/>
    <w:rPr>
      <w:rFonts w:ascii="宋体" w:eastAsia="宋体"/>
      <w:sz w:val="18"/>
      <w:szCs w:val="18"/>
    </w:rPr>
  </w:style>
  <w:style w:type="character" w:customStyle="1" w:styleId="36">
    <w:name w:val="标题 1 字符"/>
    <w:basedOn w:val="28"/>
    <w:link w:val="2"/>
    <w:qFormat/>
    <w:uiPriority w:val="9"/>
    <w:rPr>
      <w:b/>
      <w:bCs/>
      <w:kern w:val="44"/>
      <w:sz w:val="44"/>
      <w:szCs w:val="44"/>
    </w:rPr>
  </w:style>
  <w:style w:type="character" w:customStyle="1" w:styleId="37">
    <w:name w:val="标题 2 字符"/>
    <w:basedOn w:val="28"/>
    <w:link w:val="3"/>
    <w:qFormat/>
    <w:uiPriority w:val="9"/>
    <w:rPr>
      <w:rFonts w:asciiTheme="majorHAnsi" w:hAnsiTheme="majorHAnsi" w:eastAsiaTheme="majorEastAsia" w:cstheme="majorBidi"/>
      <w:b/>
      <w:bCs/>
      <w:sz w:val="32"/>
      <w:szCs w:val="32"/>
    </w:rPr>
  </w:style>
  <w:style w:type="character" w:customStyle="1" w:styleId="38">
    <w:name w:val="标题 字符"/>
    <w:basedOn w:val="28"/>
    <w:link w:val="23"/>
    <w:qFormat/>
    <w:uiPriority w:val="10"/>
    <w:rPr>
      <w:rFonts w:eastAsia="宋体" w:asciiTheme="majorHAnsi" w:hAnsiTheme="majorHAnsi" w:cstheme="majorBidi"/>
      <w:b/>
      <w:bCs/>
      <w:sz w:val="32"/>
      <w:szCs w:val="32"/>
    </w:rPr>
  </w:style>
  <w:style w:type="character" w:customStyle="1" w:styleId="39">
    <w:name w:val="副标题 字符"/>
    <w:basedOn w:val="28"/>
    <w:link w:val="20"/>
    <w:qFormat/>
    <w:uiPriority w:val="11"/>
    <w:rPr>
      <w:rFonts w:eastAsia="宋体" w:asciiTheme="majorHAnsi" w:hAnsiTheme="majorHAnsi" w:cstheme="majorBidi"/>
      <w:b/>
      <w:bCs/>
      <w:kern w:val="28"/>
      <w:sz w:val="32"/>
      <w:szCs w:val="32"/>
    </w:rPr>
  </w:style>
  <w:style w:type="paragraph" w:customStyle="1" w:styleId="40">
    <w:name w:val="Table Paragraph"/>
    <w:basedOn w:val="1"/>
    <w:qFormat/>
    <w:uiPriority w:val="1"/>
    <w:rPr>
      <w:rFonts w:ascii="宋体" w:hAnsi="宋体" w:eastAsia="宋体" w:cs="宋体"/>
      <w:lang w:val="zh-CN" w:eastAsia="zh-CN" w:bidi="zh-CN"/>
    </w:rPr>
  </w:style>
  <w:style w:type="paragraph" w:styleId="41">
    <w:name w:val="List Paragraph"/>
    <w:basedOn w:val="1"/>
    <w:qFormat/>
    <w:uiPriority w:val="34"/>
    <w:pPr>
      <w:ind w:firstLine="420" w:firstLineChars="200"/>
    </w:pPr>
  </w:style>
  <w:style w:type="paragraph" w:customStyle="1" w:styleId="42">
    <w:name w:val="Other|1"/>
    <w:basedOn w:val="1"/>
    <w:qFormat/>
    <w:uiPriority w:val="0"/>
    <w:pPr>
      <w:spacing w:line="338" w:lineRule="auto"/>
      <w:ind w:firstLine="400"/>
    </w:pPr>
    <w:rPr>
      <w:rFonts w:ascii="MingLiU" w:hAnsi="MingLiU" w:eastAsia="MingLiU" w:cs="MingLiU"/>
      <w:sz w:val="19"/>
      <w:szCs w:val="19"/>
      <w:lang w:val="zh-TW" w:eastAsia="zh-TW" w:bidi="zh-TW"/>
    </w:rPr>
  </w:style>
  <w:style w:type="paragraph" w:customStyle="1" w:styleId="43">
    <w:name w:val="Default"/>
    <w:next w:val="4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4">
    <w:name w:val="大标题"/>
    <w:basedOn w:val="1"/>
    <w:next w:val="25"/>
    <w:qFormat/>
    <w:uiPriority w:val="0"/>
    <w:pPr>
      <w:jc w:val="center"/>
    </w:pPr>
    <w:rPr>
      <w:rFonts w:ascii="Arial" w:hAnsi="Arial" w:eastAsia="宋体"/>
      <w:b/>
      <w:sz w:val="28"/>
      <w:szCs w:val="24"/>
    </w:rPr>
  </w:style>
  <w:style w:type="character" w:customStyle="1" w:styleId="45">
    <w:name w:val="17"/>
    <w:basedOn w:val="28"/>
    <w:qFormat/>
    <w:uiPriority w:val="0"/>
    <w:rPr>
      <w:rFonts w:hint="eastAsia" w:ascii="宋体" w:hAnsi="宋体" w:eastAsia="宋体" w:cs="宋体"/>
      <w:color w:val="000000"/>
      <w:sz w:val="20"/>
      <w:szCs w:val="20"/>
      <w:vertAlign w:val="superscript"/>
    </w:rPr>
  </w:style>
  <w:style w:type="character" w:customStyle="1" w:styleId="46">
    <w:name w:val="16"/>
    <w:basedOn w:val="28"/>
    <w:qFormat/>
    <w:uiPriority w:val="0"/>
    <w:rPr>
      <w:rFonts w:hint="eastAsia" w:ascii="宋体" w:hAnsi="宋体" w:eastAsia="宋体" w:cs="宋体"/>
      <w:color w:val="000000"/>
      <w:sz w:val="20"/>
      <w:szCs w:val="20"/>
      <w:vertAlign w:val="subscript"/>
    </w:rPr>
  </w:style>
  <w:style w:type="character" w:customStyle="1" w:styleId="47">
    <w:name w:val="18"/>
    <w:basedOn w:val="28"/>
    <w:qFormat/>
    <w:uiPriority w:val="0"/>
    <w:rPr>
      <w:rFonts w:hint="eastAsia" w:ascii="宋体" w:hAnsi="宋体" w:eastAsia="宋体" w:cs="宋体"/>
      <w:color w:val="000000"/>
      <w:sz w:val="20"/>
      <w:szCs w:val="20"/>
    </w:rPr>
  </w:style>
  <w:style w:type="character" w:customStyle="1" w:styleId="48">
    <w:name w:val="19"/>
    <w:basedOn w:val="28"/>
    <w:qFormat/>
    <w:uiPriority w:val="0"/>
    <w:rPr>
      <w:rFonts w:hint="eastAsia" w:ascii="宋体" w:hAnsi="宋体" w:eastAsia="宋体" w:cs="宋体"/>
      <w:color w:val="000000"/>
      <w:sz w:val="20"/>
      <w:szCs w:val="20"/>
      <w:vertAlign w:val="superscript"/>
    </w:rPr>
  </w:style>
  <w:style w:type="character" w:customStyle="1" w:styleId="49">
    <w:name w:val="font21"/>
    <w:basedOn w:val="28"/>
    <w:qFormat/>
    <w:uiPriority w:val="0"/>
    <w:rPr>
      <w:rFonts w:hint="eastAsia" w:ascii="宋体" w:hAnsi="宋体" w:eastAsia="宋体" w:cs="宋体"/>
      <w:color w:val="000000"/>
      <w:sz w:val="24"/>
      <w:szCs w:val="24"/>
      <w:u w:val="none"/>
    </w:rPr>
  </w:style>
  <w:style w:type="character" w:customStyle="1" w:styleId="50">
    <w:name w:val="font31"/>
    <w:basedOn w:val="28"/>
    <w:qFormat/>
    <w:uiPriority w:val="0"/>
    <w:rPr>
      <w:rFonts w:hint="eastAsia" w:ascii="宋体" w:hAnsi="宋体" w:eastAsia="宋体" w:cs="宋体"/>
      <w:color w:val="000000"/>
      <w:sz w:val="24"/>
      <w:szCs w:val="24"/>
      <w:u w:val="none"/>
    </w:rPr>
  </w:style>
  <w:style w:type="character" w:customStyle="1" w:styleId="51">
    <w:name w:val="font11"/>
    <w:basedOn w:val="28"/>
    <w:qFormat/>
    <w:uiPriority w:val="0"/>
    <w:rPr>
      <w:rFonts w:hint="eastAsia" w:ascii="宋体" w:hAnsi="宋体" w:eastAsia="宋体" w:cs="宋体"/>
      <w:color w:val="000000"/>
      <w:sz w:val="24"/>
      <w:szCs w:val="24"/>
      <w:u w:val="none"/>
    </w:rPr>
  </w:style>
  <w:style w:type="character" w:customStyle="1" w:styleId="52">
    <w:name w:val="font01"/>
    <w:basedOn w:val="28"/>
    <w:qFormat/>
    <w:uiPriority w:val="0"/>
    <w:rPr>
      <w:rFonts w:ascii="Calibri" w:hAnsi="Calibri" w:cs="Calibri"/>
      <w:color w:val="000000"/>
      <w:sz w:val="24"/>
      <w:szCs w:val="24"/>
      <w:u w:val="none"/>
    </w:rPr>
  </w:style>
  <w:style w:type="character" w:customStyle="1" w:styleId="53">
    <w:name w:val="font61"/>
    <w:basedOn w:val="28"/>
    <w:qFormat/>
    <w:uiPriority w:val="0"/>
    <w:rPr>
      <w:rFonts w:hint="eastAsia" w:ascii="宋体" w:hAnsi="宋体" w:eastAsia="宋体" w:cs="宋体"/>
      <w:color w:val="000000"/>
      <w:sz w:val="22"/>
      <w:szCs w:val="22"/>
      <w:u w:val="none"/>
      <w:vertAlign w:val="subscript"/>
    </w:rPr>
  </w:style>
  <w:style w:type="character" w:customStyle="1" w:styleId="54">
    <w:name w:val="font71"/>
    <w:basedOn w:val="28"/>
    <w:qFormat/>
    <w:uiPriority w:val="0"/>
    <w:rPr>
      <w:rFonts w:hint="eastAsia" w:ascii="宋体" w:hAnsi="宋体" w:eastAsia="宋体" w:cs="宋体"/>
      <w:color w:val="000000"/>
      <w:sz w:val="22"/>
      <w:szCs w:val="22"/>
      <w:u w:val="none"/>
      <w:vertAlign w:val="superscript"/>
    </w:rPr>
  </w:style>
  <w:style w:type="paragraph" w:customStyle="1" w:styleId="55">
    <w:name w:val="Table Text"/>
    <w:basedOn w:val="1"/>
    <w:semiHidden/>
    <w:qFormat/>
    <w:uiPriority w:val="0"/>
    <w:rPr>
      <w:rFonts w:ascii="宋体" w:hAnsi="宋体" w:eastAsia="宋体" w:cs="宋体"/>
      <w:sz w:val="24"/>
      <w:szCs w:val="24"/>
      <w:lang w:val="en-US" w:eastAsia="en-US" w:bidi="ar-SA"/>
    </w:rPr>
  </w:style>
  <w:style w:type="table" w:customStyle="1" w:styleId="56">
    <w:name w:val="Table Normal"/>
    <w:semiHidden/>
    <w:unhideWhenUsed/>
    <w:qFormat/>
    <w:uiPriority w:val="0"/>
    <w:tblPr>
      <w:tblCellMar>
        <w:top w:w="0" w:type="dxa"/>
        <w:left w:w="0" w:type="dxa"/>
        <w:bottom w:w="0" w:type="dxa"/>
        <w:right w:w="0" w:type="dxa"/>
      </w:tblCellMar>
    </w:tblPr>
  </w:style>
  <w:style w:type="character" w:customStyle="1" w:styleId="57">
    <w:name w:val="10"/>
    <w:basedOn w:val="28"/>
    <w:qFormat/>
    <w:uiPriority w:val="0"/>
    <w:rPr>
      <w:rFonts w:hint="default" w:ascii="Times New Roman" w:hAnsi="Times New Roman" w:cs="Times New Roman"/>
    </w:rPr>
  </w:style>
  <w:style w:type="character" w:customStyle="1" w:styleId="58">
    <w:name w:val="15"/>
    <w:basedOn w:val="28"/>
    <w:qFormat/>
    <w:uiPriority w:val="0"/>
    <w:rPr>
      <w:rFonts w:hint="default" w:ascii="Times New Roman" w:hAnsi="Times New Roman" w:cs="Times New Roman"/>
    </w:rPr>
  </w:style>
  <w:style w:type="paragraph" w:customStyle="1" w:styleId="59">
    <w:name w:val="段"/>
    <w:qFormat/>
    <w:uiPriority w:val="0"/>
    <w:pPr>
      <w:autoSpaceDE w:val="0"/>
      <w:autoSpaceDN w:val="0"/>
      <w:ind w:firstLine="200" w:firstLineChars="200"/>
      <w:jc w:val="both"/>
    </w:pPr>
    <w:rPr>
      <w:rFonts w:ascii="宋体" w:hAnsi="Times New Roman" w:eastAsia="Times New Roman" w:cs="Times New Roman"/>
      <w:sz w:val="21"/>
      <w:szCs w:val="22"/>
      <w:lang w:val="en-US" w:eastAsia="zh-CN" w:bidi="ar-SA"/>
    </w:rPr>
  </w:style>
  <w:style w:type="character" w:customStyle="1" w:styleId="60">
    <w:name w:val="font51"/>
    <w:basedOn w:val="28"/>
    <w:qFormat/>
    <w:uiPriority w:val="0"/>
    <w:rPr>
      <w:rFonts w:hint="eastAsia" w:ascii="宋体" w:hAnsi="宋体" w:eastAsia="宋体" w:cs="宋体"/>
      <w:color w:val="000000"/>
      <w:sz w:val="24"/>
      <w:szCs w:val="24"/>
      <w:u w:val="none"/>
      <w:vertAlign w:val="sub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微软中国</Company>
  <Pages>12</Pages>
  <Words>5029</Words>
  <Characters>5260</Characters>
  <Lines>1</Lines>
  <Paragraphs>1</Paragraphs>
  <TotalTime>0</TotalTime>
  <ScaleCrop>false</ScaleCrop>
  <LinksUpToDate>false</LinksUpToDate>
  <CharactersWithSpaces>5290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2019-06-14T06:15:00Z</dcterms:created>
  <dc:creator>Administrator</dc:creator>
  <cp:lastModifiedBy>.</cp:lastModifiedBy>
  <dcterms:modified xsi:type="dcterms:W3CDTF">2026-09-30T08:12:12Z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DDF3E1626561260D8CCAB7698DD4E6EE_43</vt:lpwstr>
  </property>
  <property fmtid="{D5CDD505-2E9C-101B-9397-08002B2CF9AE}" pid="4" name="KSOTemplateDocerSaveRecord">
    <vt:lpwstr>eyJoZGlkIjoiNzc0MTY5ZWZkMWRiZTVmYTYzZTQ5MWFhZmRhZTBhMjEiLCJ1c2VySWQiOiI1NDMxMTk2OTYifQ==</vt:lpwstr>
  </property>
</Properties>
</file>