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171FF0">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方正小标宋简体" w:cs="Times New Roman"/>
          <w:b w:val="0"/>
          <w:bCs w:val="0"/>
          <w:color w:val="000000"/>
          <w:sz w:val="44"/>
          <w:szCs w:val="44"/>
          <w:lang w:eastAsia="zh-CN"/>
        </w:rPr>
      </w:pPr>
      <w:r>
        <w:rPr>
          <w:rFonts w:hint="default" w:ascii="Times New Roman" w:hAnsi="Times New Roman" w:eastAsia="方正小标宋简体" w:cs="Times New Roman"/>
          <w:b w:val="0"/>
          <w:bCs w:val="0"/>
          <w:color w:val="000000"/>
          <w:sz w:val="44"/>
          <w:szCs w:val="44"/>
          <w:lang w:val="en-US" w:eastAsia="zh-CN"/>
        </w:rPr>
        <w:t>电动自行车用充电器产品质量监督抽查实施细则（2026年版）</w:t>
      </w:r>
    </w:p>
    <w:p w14:paraId="549EA265">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方正小标宋简体" w:cs="Times New Roman"/>
          <w:color w:val="000000"/>
          <w:sz w:val="32"/>
          <w:szCs w:val="32"/>
        </w:rPr>
      </w:pPr>
    </w:p>
    <w:p w14:paraId="6634681F">
      <w:pPr>
        <w:keepNext w:val="0"/>
        <w:keepLines w:val="0"/>
        <w:pageBreakBefore w:val="0"/>
        <w:kinsoku/>
        <w:wordWrap/>
        <w:overflowPunct/>
        <w:topLinePunct w:val="0"/>
        <w:autoSpaceDE/>
        <w:autoSpaceDN/>
        <w:bidi w:val="0"/>
        <w:adjustRightInd/>
        <w:snapToGrid w:val="0"/>
        <w:spacing w:line="600" w:lineRule="exact"/>
        <w:rPr>
          <w:rFonts w:hint="default" w:ascii="Times New Roman" w:hAnsi="Times New Roman" w:eastAsia="黑体" w:cs="Times New Roman"/>
          <w:b w:val="0"/>
          <w:bCs w:val="0"/>
          <w:color w:val="000000"/>
          <w:sz w:val="32"/>
          <w:szCs w:val="32"/>
        </w:rPr>
      </w:pPr>
      <w:r>
        <w:rPr>
          <w:rFonts w:hint="default" w:ascii="Times New Roman" w:hAnsi="Times New Roman" w:eastAsia="黑体" w:cs="Times New Roman"/>
          <w:b w:val="0"/>
          <w:bCs w:val="0"/>
          <w:color w:val="000000"/>
          <w:sz w:val="32"/>
          <w:szCs w:val="32"/>
        </w:rPr>
        <w:t>1 抽样方法</w:t>
      </w:r>
    </w:p>
    <w:p w14:paraId="4C38F1DC">
      <w:pPr>
        <w:keepNext w:val="0"/>
        <w:keepLines w:val="0"/>
        <w:pageBreakBefore w:val="0"/>
        <w:kinsoku/>
        <w:wordWrap/>
        <w:overflowPunct/>
        <w:topLinePunct w:val="0"/>
        <w:autoSpaceDE/>
        <w:autoSpaceDN/>
        <w:bidi w:val="0"/>
        <w:adjustRightInd/>
        <w:snapToGrid w:val="0"/>
        <w:spacing w:line="60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以随机抽样的方式在被抽样生产者、销售者的待销产品中抽取。</w:t>
      </w:r>
    </w:p>
    <w:p w14:paraId="5E6E3902">
      <w:pPr>
        <w:keepNext w:val="0"/>
        <w:keepLines w:val="0"/>
        <w:pageBreakBefore w:val="0"/>
        <w:kinsoku/>
        <w:wordWrap/>
        <w:overflowPunct/>
        <w:topLinePunct w:val="0"/>
        <w:autoSpaceDE/>
        <w:autoSpaceDN/>
        <w:bidi w:val="0"/>
        <w:adjustRightInd/>
        <w:snapToGrid w:val="0"/>
        <w:spacing w:line="60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随机数一般可使用随机数表等方法产生。</w:t>
      </w:r>
    </w:p>
    <w:p w14:paraId="6FDCFE1F">
      <w:pPr>
        <w:keepNext w:val="0"/>
        <w:keepLines w:val="0"/>
        <w:pageBreakBefore w:val="0"/>
        <w:kinsoku/>
        <w:wordWrap/>
        <w:overflowPunct/>
        <w:topLinePunct w:val="0"/>
        <w:autoSpaceDE/>
        <w:autoSpaceDN/>
        <w:bidi w:val="0"/>
        <w:adjustRightInd/>
        <w:snapToGrid w:val="0"/>
        <w:spacing w:line="600" w:lineRule="exact"/>
        <w:ind w:firstLine="640" w:firstLineChars="200"/>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sz w:val="32"/>
          <w:szCs w:val="32"/>
        </w:rPr>
        <w:t>每批次产品抽取样品</w:t>
      </w:r>
      <w:r>
        <w:rPr>
          <w:rFonts w:hint="default" w:ascii="Times New Roman" w:hAnsi="Times New Roman" w:eastAsia="仿宋_GB2312" w:cs="Times New Roman"/>
          <w:sz w:val="32"/>
          <w:szCs w:val="32"/>
          <w:lang w:val="en-US" w:eastAsia="zh-CN"/>
        </w:rPr>
        <w:t>3只</w:t>
      </w:r>
      <w:r>
        <w:rPr>
          <w:rFonts w:hint="default" w:ascii="Times New Roman" w:hAnsi="Times New Roman" w:eastAsia="仿宋_GB2312" w:cs="Times New Roman"/>
          <w:sz w:val="32"/>
          <w:szCs w:val="32"/>
        </w:rPr>
        <w:t>，其中</w:t>
      </w:r>
      <w:r>
        <w:rPr>
          <w:rFonts w:hint="default" w:ascii="Times New Roman" w:hAnsi="Times New Roman" w:eastAsia="仿宋_GB2312" w:cs="Times New Roman"/>
          <w:sz w:val="32"/>
          <w:szCs w:val="32"/>
          <w:lang w:val="en-US" w:eastAsia="zh-CN"/>
        </w:rPr>
        <w:t>2只</w:t>
      </w:r>
      <w:r>
        <w:rPr>
          <w:rFonts w:hint="default" w:ascii="Times New Roman" w:hAnsi="Times New Roman" w:eastAsia="仿宋_GB2312" w:cs="Times New Roman"/>
          <w:sz w:val="32"/>
          <w:szCs w:val="32"/>
        </w:rPr>
        <w:t>作为检验</w:t>
      </w:r>
      <w:r>
        <w:rPr>
          <w:rFonts w:hint="default" w:ascii="Times New Roman" w:hAnsi="Times New Roman" w:eastAsia="仿宋_GB2312" w:cs="Times New Roman"/>
          <w:sz w:val="32"/>
          <w:szCs w:val="32"/>
          <w:highlight w:val="none"/>
        </w:rPr>
        <w:t>样品，</w:t>
      </w:r>
      <w:r>
        <w:rPr>
          <w:rFonts w:hint="default"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lang w:val="en-US" w:eastAsia="zh-CN"/>
        </w:rPr>
        <w:t>只</w:t>
      </w:r>
      <w:r>
        <w:rPr>
          <w:rFonts w:hint="default" w:ascii="Times New Roman" w:hAnsi="Times New Roman" w:eastAsia="仿宋_GB2312" w:cs="Times New Roman"/>
          <w:sz w:val="32"/>
          <w:szCs w:val="32"/>
          <w:highlight w:val="none"/>
        </w:rPr>
        <w:t>作为备用样品。</w:t>
      </w:r>
    </w:p>
    <w:p w14:paraId="648F2896">
      <w:pPr>
        <w:keepNext w:val="0"/>
        <w:keepLines w:val="0"/>
        <w:pageBreakBefore w:val="0"/>
        <w:kinsoku/>
        <w:wordWrap/>
        <w:overflowPunct/>
        <w:topLinePunct w:val="0"/>
        <w:autoSpaceDE/>
        <w:autoSpaceDN/>
        <w:bidi w:val="0"/>
        <w:adjustRightInd/>
        <w:snapToGrid w:val="0"/>
        <w:spacing w:line="600" w:lineRule="exact"/>
        <w:rPr>
          <w:rFonts w:hint="default" w:ascii="Times New Roman" w:hAnsi="Times New Roman" w:eastAsia="黑体" w:cs="Times New Roman"/>
          <w:b w:val="0"/>
          <w:bCs w:val="0"/>
          <w:color w:val="000000"/>
          <w:sz w:val="32"/>
          <w:szCs w:val="32"/>
        </w:rPr>
      </w:pPr>
      <w:r>
        <w:rPr>
          <w:rFonts w:hint="default" w:ascii="Times New Roman" w:hAnsi="Times New Roman" w:eastAsia="黑体" w:cs="Times New Roman"/>
          <w:b w:val="0"/>
          <w:bCs w:val="0"/>
          <w:color w:val="000000"/>
          <w:sz w:val="32"/>
          <w:szCs w:val="32"/>
        </w:rPr>
        <w:t>2 检验依据</w:t>
      </w:r>
    </w:p>
    <w:p w14:paraId="72F6B0F6">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楷体_GB2312" w:cs="Times New Roman"/>
          <w:color w:val="000000"/>
          <w:sz w:val="32"/>
          <w:szCs w:val="32"/>
          <w:highlight w:val="none"/>
          <w:lang w:val="en-US" w:eastAsia="zh-CN"/>
        </w:rPr>
      </w:pPr>
      <w:r>
        <w:rPr>
          <w:rFonts w:hint="default" w:ascii="Times New Roman" w:hAnsi="Times New Roman" w:eastAsia="楷体_GB2312" w:cs="Times New Roman"/>
          <w:color w:val="000000"/>
          <w:sz w:val="32"/>
          <w:szCs w:val="32"/>
          <w:highlight w:val="none"/>
          <w:lang w:val="en-US" w:eastAsia="zh-CN"/>
        </w:rPr>
        <w:t>表1 电动自行车用充电器</w:t>
      </w:r>
    </w:p>
    <w:tbl>
      <w:tblPr>
        <w:tblStyle w:val="5"/>
        <w:tblW w:w="9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9"/>
        <w:gridCol w:w="3796"/>
        <w:gridCol w:w="3949"/>
      </w:tblGrid>
      <w:tr w14:paraId="0D1C4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389" w:type="dxa"/>
            <w:noWrap w:val="0"/>
            <w:vAlign w:val="center"/>
          </w:tcPr>
          <w:p w14:paraId="650D8619">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序号</w:t>
            </w:r>
          </w:p>
        </w:tc>
        <w:tc>
          <w:tcPr>
            <w:tcW w:w="3796" w:type="dxa"/>
            <w:noWrap w:val="0"/>
            <w:vAlign w:val="center"/>
          </w:tcPr>
          <w:p w14:paraId="16DE06A7">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检验项目</w:t>
            </w:r>
          </w:p>
        </w:tc>
        <w:tc>
          <w:tcPr>
            <w:tcW w:w="3949" w:type="dxa"/>
            <w:noWrap w:val="0"/>
            <w:vAlign w:val="center"/>
          </w:tcPr>
          <w:p w14:paraId="480642BE">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检验方法</w:t>
            </w:r>
          </w:p>
        </w:tc>
      </w:tr>
      <w:tr w14:paraId="7438B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9" w:type="dxa"/>
            <w:noWrap w:val="0"/>
            <w:vAlign w:val="center"/>
          </w:tcPr>
          <w:p w14:paraId="721F951C">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i w:val="0"/>
                <w:iCs w:val="0"/>
                <w:color w:val="000000"/>
                <w:kern w:val="0"/>
                <w:sz w:val="32"/>
                <w:szCs w:val="32"/>
                <w:highlight w:val="none"/>
                <w:u w:val="none"/>
                <w:lang w:val="en-US" w:eastAsia="zh-CN" w:bidi="ar"/>
              </w:rPr>
              <w:t>1</w:t>
            </w:r>
          </w:p>
        </w:tc>
        <w:tc>
          <w:tcPr>
            <w:tcW w:w="3796" w:type="dxa"/>
            <w:shd w:val="clear" w:color="auto" w:fill="auto"/>
            <w:noWrap w:val="0"/>
            <w:vAlign w:val="center"/>
          </w:tcPr>
          <w:p w14:paraId="15B9C2CC">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2"/>
                <w:sz w:val="32"/>
                <w:szCs w:val="32"/>
                <w:u w:val="none"/>
                <w:lang w:val="en-US" w:eastAsia="zh-CN" w:bidi="ar-SA"/>
              </w:rPr>
            </w:pPr>
            <w:r>
              <w:rPr>
                <w:rFonts w:hint="default" w:ascii="Times New Roman" w:hAnsi="Times New Roman" w:eastAsia="仿宋_GB2312" w:cs="Times New Roman"/>
                <w:i w:val="0"/>
                <w:iCs w:val="0"/>
                <w:color w:val="000000"/>
                <w:kern w:val="0"/>
                <w:sz w:val="32"/>
                <w:szCs w:val="32"/>
                <w:u w:val="none"/>
                <w:lang w:val="en-US" w:eastAsia="zh-CN" w:bidi="ar"/>
              </w:rPr>
              <w:t>外壳冲击</w:t>
            </w:r>
          </w:p>
        </w:tc>
        <w:tc>
          <w:tcPr>
            <w:tcW w:w="3949" w:type="dxa"/>
            <w:noWrap w:val="0"/>
            <w:vAlign w:val="center"/>
          </w:tcPr>
          <w:p w14:paraId="2EF4703D">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i w:val="0"/>
                <w:iCs w:val="0"/>
                <w:color w:val="000000"/>
                <w:kern w:val="0"/>
                <w:sz w:val="32"/>
                <w:szCs w:val="32"/>
                <w:u w:val="none"/>
                <w:lang w:val="en-US" w:eastAsia="zh-CN" w:bidi="ar"/>
              </w:rPr>
              <w:t>GB 42296-2022</w:t>
            </w:r>
          </w:p>
        </w:tc>
      </w:tr>
      <w:tr w14:paraId="0422C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9" w:type="dxa"/>
            <w:noWrap w:val="0"/>
            <w:vAlign w:val="center"/>
          </w:tcPr>
          <w:p w14:paraId="07E1C413">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i w:val="0"/>
                <w:iCs w:val="0"/>
                <w:color w:val="000000"/>
                <w:kern w:val="0"/>
                <w:sz w:val="32"/>
                <w:szCs w:val="32"/>
                <w:highlight w:val="none"/>
                <w:u w:val="none"/>
                <w:lang w:val="en-US" w:eastAsia="zh-CN" w:bidi="ar"/>
              </w:rPr>
              <w:t>2</w:t>
            </w:r>
          </w:p>
        </w:tc>
        <w:tc>
          <w:tcPr>
            <w:tcW w:w="3796" w:type="dxa"/>
            <w:shd w:val="clear" w:color="auto" w:fill="auto"/>
            <w:noWrap w:val="0"/>
            <w:vAlign w:val="center"/>
          </w:tcPr>
          <w:p w14:paraId="5751F1C8">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2"/>
                <w:sz w:val="32"/>
                <w:szCs w:val="32"/>
                <w:u w:val="none"/>
                <w:lang w:val="en-US" w:eastAsia="zh-CN" w:bidi="ar-SA"/>
              </w:rPr>
            </w:pPr>
            <w:r>
              <w:rPr>
                <w:rFonts w:hint="default" w:ascii="Times New Roman" w:hAnsi="Times New Roman" w:eastAsia="仿宋_GB2312" w:cs="Times New Roman"/>
                <w:i w:val="0"/>
                <w:iCs w:val="0"/>
                <w:color w:val="000000"/>
                <w:kern w:val="0"/>
                <w:sz w:val="32"/>
                <w:szCs w:val="32"/>
                <w:u w:val="none"/>
                <w:lang w:val="en-US" w:eastAsia="zh-CN" w:bidi="ar"/>
              </w:rPr>
              <w:t>跌落</w:t>
            </w:r>
          </w:p>
        </w:tc>
        <w:tc>
          <w:tcPr>
            <w:tcW w:w="3949" w:type="dxa"/>
            <w:noWrap w:val="0"/>
            <w:vAlign w:val="center"/>
          </w:tcPr>
          <w:p w14:paraId="3F6B30D0">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i w:val="0"/>
                <w:iCs w:val="0"/>
                <w:color w:val="000000"/>
                <w:kern w:val="0"/>
                <w:sz w:val="32"/>
                <w:szCs w:val="32"/>
                <w:u w:val="none"/>
                <w:lang w:val="en-US" w:eastAsia="zh-CN" w:bidi="ar"/>
              </w:rPr>
              <w:t>GB 42296-2022</w:t>
            </w:r>
          </w:p>
        </w:tc>
      </w:tr>
      <w:tr w14:paraId="04A40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9" w:type="dxa"/>
            <w:noWrap w:val="0"/>
            <w:vAlign w:val="center"/>
          </w:tcPr>
          <w:p w14:paraId="306784B9">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i w:val="0"/>
                <w:iCs w:val="0"/>
                <w:color w:val="000000"/>
                <w:kern w:val="0"/>
                <w:sz w:val="32"/>
                <w:szCs w:val="32"/>
                <w:u w:val="none"/>
                <w:lang w:val="en-US" w:eastAsia="zh-CN" w:bidi="ar"/>
              </w:rPr>
              <w:t>3</w:t>
            </w:r>
          </w:p>
        </w:tc>
        <w:tc>
          <w:tcPr>
            <w:tcW w:w="3796" w:type="dxa"/>
            <w:shd w:val="clear" w:color="auto" w:fill="auto"/>
            <w:noWrap w:val="0"/>
            <w:vAlign w:val="center"/>
          </w:tcPr>
          <w:p w14:paraId="47D781F5">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2"/>
                <w:sz w:val="32"/>
                <w:szCs w:val="32"/>
                <w:u w:val="none"/>
                <w:lang w:val="en-US" w:eastAsia="zh-CN" w:bidi="ar-SA"/>
              </w:rPr>
            </w:pPr>
            <w:r>
              <w:rPr>
                <w:rFonts w:hint="default" w:ascii="Times New Roman" w:hAnsi="Times New Roman" w:eastAsia="仿宋_GB2312" w:cs="Times New Roman"/>
                <w:i w:val="0"/>
                <w:iCs w:val="0"/>
                <w:color w:val="000000"/>
                <w:kern w:val="0"/>
                <w:sz w:val="32"/>
                <w:szCs w:val="32"/>
                <w:u w:val="none"/>
                <w:lang w:val="en-US" w:eastAsia="zh-CN" w:bidi="ar"/>
              </w:rPr>
              <w:t>工作温度下的泄漏电流</w:t>
            </w:r>
          </w:p>
        </w:tc>
        <w:tc>
          <w:tcPr>
            <w:tcW w:w="3949" w:type="dxa"/>
            <w:noWrap w:val="0"/>
            <w:vAlign w:val="center"/>
          </w:tcPr>
          <w:p w14:paraId="5297F1E8">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i w:val="0"/>
                <w:iCs w:val="0"/>
                <w:color w:val="000000"/>
                <w:kern w:val="0"/>
                <w:sz w:val="32"/>
                <w:szCs w:val="32"/>
                <w:u w:val="none"/>
                <w:lang w:val="en-US" w:eastAsia="zh-CN" w:bidi="ar"/>
              </w:rPr>
              <w:t>GB 42296-2022</w:t>
            </w:r>
          </w:p>
        </w:tc>
      </w:tr>
      <w:tr w14:paraId="350D1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9" w:type="dxa"/>
            <w:noWrap w:val="0"/>
            <w:vAlign w:val="center"/>
          </w:tcPr>
          <w:p w14:paraId="17DBFEA5">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i w:val="0"/>
                <w:iCs w:val="0"/>
                <w:color w:val="000000"/>
                <w:kern w:val="0"/>
                <w:sz w:val="32"/>
                <w:szCs w:val="32"/>
                <w:u w:val="none"/>
                <w:lang w:val="en-US" w:eastAsia="zh-CN" w:bidi="ar"/>
              </w:rPr>
              <w:t>4</w:t>
            </w:r>
          </w:p>
        </w:tc>
        <w:tc>
          <w:tcPr>
            <w:tcW w:w="3796" w:type="dxa"/>
            <w:shd w:val="clear" w:color="auto" w:fill="auto"/>
            <w:noWrap w:val="0"/>
            <w:vAlign w:val="center"/>
          </w:tcPr>
          <w:p w14:paraId="7A57D556">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2"/>
                <w:sz w:val="32"/>
                <w:szCs w:val="32"/>
                <w:u w:val="none"/>
                <w:lang w:val="en-US" w:eastAsia="zh-CN" w:bidi="ar-SA"/>
              </w:rPr>
            </w:pPr>
            <w:r>
              <w:rPr>
                <w:rFonts w:hint="default" w:ascii="Times New Roman" w:hAnsi="Times New Roman" w:eastAsia="仿宋_GB2312" w:cs="Times New Roman"/>
                <w:i w:val="0"/>
                <w:iCs w:val="0"/>
                <w:color w:val="000000"/>
                <w:kern w:val="0"/>
                <w:sz w:val="32"/>
                <w:szCs w:val="32"/>
                <w:u w:val="none"/>
                <w:lang w:val="en-US" w:eastAsia="zh-CN" w:bidi="ar"/>
              </w:rPr>
              <w:t>电气强度</w:t>
            </w:r>
          </w:p>
        </w:tc>
        <w:tc>
          <w:tcPr>
            <w:tcW w:w="3949" w:type="dxa"/>
            <w:noWrap w:val="0"/>
            <w:vAlign w:val="center"/>
          </w:tcPr>
          <w:p w14:paraId="26C670D0">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i w:val="0"/>
                <w:iCs w:val="0"/>
                <w:color w:val="000000"/>
                <w:kern w:val="0"/>
                <w:sz w:val="32"/>
                <w:szCs w:val="32"/>
                <w:u w:val="none"/>
                <w:lang w:val="en-US" w:eastAsia="zh-CN" w:bidi="ar"/>
              </w:rPr>
              <w:t>GB 42296-2022</w:t>
            </w:r>
          </w:p>
        </w:tc>
      </w:tr>
      <w:tr w14:paraId="24DB9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9" w:type="dxa"/>
            <w:noWrap w:val="0"/>
            <w:vAlign w:val="center"/>
          </w:tcPr>
          <w:p w14:paraId="0BCAFACA">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i w:val="0"/>
                <w:iCs w:val="0"/>
                <w:color w:val="000000"/>
                <w:kern w:val="0"/>
                <w:sz w:val="32"/>
                <w:szCs w:val="32"/>
                <w:u w:val="none"/>
                <w:lang w:val="en-US" w:eastAsia="zh-CN" w:bidi="ar"/>
              </w:rPr>
              <w:t>5</w:t>
            </w:r>
          </w:p>
        </w:tc>
        <w:tc>
          <w:tcPr>
            <w:tcW w:w="3796" w:type="dxa"/>
            <w:shd w:val="clear" w:color="auto" w:fill="auto"/>
            <w:noWrap w:val="0"/>
            <w:vAlign w:val="center"/>
          </w:tcPr>
          <w:p w14:paraId="2D26053C">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2"/>
                <w:sz w:val="32"/>
                <w:szCs w:val="32"/>
                <w:u w:val="none"/>
                <w:lang w:val="en-US" w:eastAsia="zh-CN" w:bidi="ar-SA"/>
              </w:rPr>
            </w:pPr>
            <w:r>
              <w:rPr>
                <w:rFonts w:hint="default" w:ascii="Times New Roman" w:hAnsi="Times New Roman" w:eastAsia="仿宋_GB2312" w:cs="Times New Roman"/>
                <w:i w:val="0"/>
                <w:iCs w:val="0"/>
                <w:color w:val="000000"/>
                <w:kern w:val="0"/>
                <w:sz w:val="32"/>
                <w:szCs w:val="32"/>
                <w:u w:val="none"/>
                <w:lang w:val="en-US" w:eastAsia="zh-CN" w:bidi="ar"/>
              </w:rPr>
              <w:t>防触电保护</w:t>
            </w:r>
          </w:p>
        </w:tc>
        <w:tc>
          <w:tcPr>
            <w:tcW w:w="3949" w:type="dxa"/>
            <w:noWrap w:val="0"/>
            <w:vAlign w:val="center"/>
          </w:tcPr>
          <w:p w14:paraId="44ED59DF">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i w:val="0"/>
                <w:iCs w:val="0"/>
                <w:color w:val="000000"/>
                <w:kern w:val="0"/>
                <w:sz w:val="32"/>
                <w:szCs w:val="32"/>
                <w:u w:val="none"/>
                <w:lang w:val="en-US" w:eastAsia="zh-CN" w:bidi="ar"/>
              </w:rPr>
              <w:t>GB 42296-2022</w:t>
            </w:r>
          </w:p>
        </w:tc>
      </w:tr>
      <w:tr w14:paraId="05A3B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9" w:type="dxa"/>
            <w:noWrap w:val="0"/>
            <w:vAlign w:val="center"/>
          </w:tcPr>
          <w:p w14:paraId="36E955AB">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i w:val="0"/>
                <w:iCs w:val="0"/>
                <w:color w:val="000000"/>
                <w:kern w:val="0"/>
                <w:sz w:val="32"/>
                <w:szCs w:val="32"/>
                <w:u w:val="none"/>
                <w:lang w:val="en-US" w:eastAsia="zh-CN" w:bidi="ar"/>
              </w:rPr>
              <w:t>6</w:t>
            </w:r>
          </w:p>
        </w:tc>
        <w:tc>
          <w:tcPr>
            <w:tcW w:w="3796" w:type="dxa"/>
            <w:shd w:val="clear" w:color="auto" w:fill="auto"/>
            <w:noWrap w:val="0"/>
            <w:vAlign w:val="center"/>
          </w:tcPr>
          <w:p w14:paraId="7E3F4B99">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2"/>
                <w:sz w:val="32"/>
                <w:szCs w:val="32"/>
                <w:u w:val="none"/>
                <w:lang w:val="en-US" w:eastAsia="zh-CN" w:bidi="ar-SA"/>
              </w:rPr>
            </w:pPr>
            <w:r>
              <w:rPr>
                <w:rFonts w:hint="default" w:ascii="Times New Roman" w:hAnsi="Times New Roman" w:eastAsia="仿宋_GB2312" w:cs="Times New Roman"/>
                <w:i w:val="0"/>
                <w:iCs w:val="0"/>
                <w:color w:val="000000"/>
                <w:kern w:val="0"/>
                <w:sz w:val="32"/>
                <w:szCs w:val="32"/>
                <w:u w:val="none"/>
                <w:lang w:val="en-US" w:eastAsia="zh-CN" w:bidi="ar"/>
              </w:rPr>
              <w:t>非正常工作</w:t>
            </w:r>
          </w:p>
        </w:tc>
        <w:tc>
          <w:tcPr>
            <w:tcW w:w="3949" w:type="dxa"/>
            <w:noWrap w:val="0"/>
            <w:vAlign w:val="center"/>
          </w:tcPr>
          <w:p w14:paraId="448737E8">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i w:val="0"/>
                <w:iCs w:val="0"/>
                <w:color w:val="000000"/>
                <w:kern w:val="0"/>
                <w:sz w:val="32"/>
                <w:szCs w:val="32"/>
                <w:u w:val="none"/>
                <w:lang w:val="en-US" w:eastAsia="zh-CN" w:bidi="ar"/>
              </w:rPr>
              <w:t>GB 42296-2022</w:t>
            </w:r>
          </w:p>
        </w:tc>
      </w:tr>
      <w:tr w14:paraId="2252A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9" w:type="dxa"/>
            <w:noWrap w:val="0"/>
            <w:vAlign w:val="center"/>
          </w:tcPr>
          <w:p w14:paraId="605ECD23">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0"/>
                <w:sz w:val="32"/>
                <w:szCs w:val="32"/>
                <w:u w:val="none"/>
                <w:lang w:val="en-US" w:eastAsia="zh-CN" w:bidi="ar"/>
              </w:rPr>
            </w:pPr>
            <w:r>
              <w:rPr>
                <w:rFonts w:hint="default" w:ascii="Times New Roman" w:hAnsi="Times New Roman" w:eastAsia="仿宋_GB2312" w:cs="Times New Roman"/>
                <w:i w:val="0"/>
                <w:iCs w:val="0"/>
                <w:color w:val="000000"/>
                <w:kern w:val="0"/>
                <w:sz w:val="32"/>
                <w:szCs w:val="32"/>
                <w:u w:val="none"/>
                <w:lang w:val="en-US" w:eastAsia="zh-CN" w:bidi="ar"/>
              </w:rPr>
              <w:t>7</w:t>
            </w:r>
          </w:p>
        </w:tc>
        <w:tc>
          <w:tcPr>
            <w:tcW w:w="3796" w:type="dxa"/>
            <w:shd w:val="clear" w:color="auto" w:fill="auto"/>
            <w:noWrap w:val="0"/>
            <w:vAlign w:val="center"/>
          </w:tcPr>
          <w:p w14:paraId="646ED81A">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2"/>
                <w:sz w:val="32"/>
                <w:szCs w:val="32"/>
                <w:u w:val="none"/>
                <w:lang w:val="en-US" w:eastAsia="zh-CN" w:bidi="ar-SA"/>
              </w:rPr>
            </w:pPr>
            <w:r>
              <w:rPr>
                <w:rFonts w:hint="default" w:ascii="Times New Roman" w:hAnsi="Times New Roman" w:eastAsia="仿宋_GB2312" w:cs="Times New Roman"/>
                <w:i w:val="0"/>
                <w:iCs w:val="0"/>
                <w:color w:val="000000"/>
                <w:kern w:val="0"/>
                <w:sz w:val="32"/>
                <w:szCs w:val="32"/>
                <w:u w:val="none"/>
                <w:lang w:val="en-US" w:eastAsia="zh-CN" w:bidi="ar"/>
              </w:rPr>
              <w:t>超温保护</w:t>
            </w:r>
          </w:p>
        </w:tc>
        <w:tc>
          <w:tcPr>
            <w:tcW w:w="3949" w:type="dxa"/>
            <w:noWrap w:val="0"/>
            <w:vAlign w:val="center"/>
          </w:tcPr>
          <w:p w14:paraId="14B3D6AC">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0"/>
                <w:sz w:val="32"/>
                <w:szCs w:val="32"/>
                <w:u w:val="none"/>
                <w:lang w:val="en-US" w:eastAsia="zh-CN" w:bidi="ar"/>
              </w:rPr>
            </w:pPr>
            <w:r>
              <w:rPr>
                <w:rFonts w:hint="default" w:ascii="Times New Roman" w:hAnsi="Times New Roman" w:eastAsia="仿宋_GB2312" w:cs="Times New Roman"/>
                <w:i w:val="0"/>
                <w:iCs w:val="0"/>
                <w:color w:val="000000"/>
                <w:kern w:val="0"/>
                <w:sz w:val="32"/>
                <w:szCs w:val="32"/>
                <w:u w:val="none"/>
                <w:lang w:val="en-US" w:eastAsia="zh-CN" w:bidi="ar"/>
              </w:rPr>
              <w:t>GB 42296-2022</w:t>
            </w:r>
          </w:p>
        </w:tc>
      </w:tr>
      <w:tr w14:paraId="0EFC7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9" w:type="dxa"/>
            <w:noWrap w:val="0"/>
            <w:vAlign w:val="center"/>
          </w:tcPr>
          <w:p w14:paraId="170F58C2">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0"/>
                <w:sz w:val="32"/>
                <w:szCs w:val="32"/>
                <w:u w:val="none"/>
                <w:lang w:val="en-US" w:eastAsia="zh-CN" w:bidi="ar"/>
              </w:rPr>
            </w:pPr>
            <w:r>
              <w:rPr>
                <w:rFonts w:hint="default" w:ascii="Times New Roman" w:hAnsi="Times New Roman" w:eastAsia="仿宋_GB2312" w:cs="Times New Roman"/>
                <w:i w:val="0"/>
                <w:iCs w:val="0"/>
                <w:color w:val="000000"/>
                <w:kern w:val="0"/>
                <w:sz w:val="32"/>
                <w:szCs w:val="32"/>
                <w:u w:val="none"/>
                <w:lang w:val="en-US" w:eastAsia="zh-CN" w:bidi="ar"/>
              </w:rPr>
              <w:t>8</w:t>
            </w:r>
          </w:p>
        </w:tc>
        <w:tc>
          <w:tcPr>
            <w:tcW w:w="3796" w:type="dxa"/>
            <w:shd w:val="clear" w:color="auto" w:fill="auto"/>
            <w:noWrap w:val="0"/>
            <w:vAlign w:val="center"/>
          </w:tcPr>
          <w:p w14:paraId="43F04321">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2"/>
                <w:sz w:val="32"/>
                <w:szCs w:val="32"/>
                <w:u w:val="none"/>
                <w:lang w:val="en-US" w:eastAsia="zh-CN" w:bidi="ar-SA"/>
              </w:rPr>
            </w:pPr>
            <w:r>
              <w:rPr>
                <w:rFonts w:hint="default" w:ascii="Times New Roman" w:hAnsi="Times New Roman" w:eastAsia="仿宋_GB2312" w:cs="Times New Roman"/>
                <w:i w:val="0"/>
                <w:iCs w:val="0"/>
                <w:color w:val="000000"/>
                <w:kern w:val="0"/>
                <w:sz w:val="32"/>
                <w:szCs w:val="32"/>
                <w:u w:val="none"/>
                <w:lang w:val="en-US" w:eastAsia="zh-CN" w:bidi="ar"/>
              </w:rPr>
              <w:t>过充切断</w:t>
            </w:r>
          </w:p>
        </w:tc>
        <w:tc>
          <w:tcPr>
            <w:tcW w:w="3949" w:type="dxa"/>
            <w:noWrap w:val="0"/>
            <w:vAlign w:val="center"/>
          </w:tcPr>
          <w:p w14:paraId="6E63364C">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0"/>
                <w:sz w:val="32"/>
                <w:szCs w:val="32"/>
                <w:u w:val="none"/>
                <w:lang w:val="en-US" w:eastAsia="zh-CN" w:bidi="ar"/>
              </w:rPr>
            </w:pPr>
            <w:r>
              <w:rPr>
                <w:rFonts w:hint="default" w:ascii="Times New Roman" w:hAnsi="Times New Roman" w:eastAsia="仿宋_GB2312" w:cs="Times New Roman"/>
                <w:i w:val="0"/>
                <w:iCs w:val="0"/>
                <w:color w:val="000000"/>
                <w:kern w:val="0"/>
                <w:sz w:val="32"/>
                <w:szCs w:val="32"/>
                <w:u w:val="none"/>
                <w:lang w:val="en-US" w:eastAsia="zh-CN" w:bidi="ar"/>
              </w:rPr>
              <w:t>GB 42296-2022</w:t>
            </w:r>
          </w:p>
        </w:tc>
      </w:tr>
      <w:tr w14:paraId="3CF30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9" w:type="dxa"/>
            <w:noWrap w:val="0"/>
            <w:vAlign w:val="center"/>
          </w:tcPr>
          <w:p w14:paraId="6A9A6425">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0"/>
                <w:sz w:val="32"/>
                <w:szCs w:val="32"/>
                <w:u w:val="none"/>
                <w:lang w:val="en-US" w:eastAsia="zh-CN" w:bidi="ar"/>
              </w:rPr>
            </w:pPr>
            <w:r>
              <w:rPr>
                <w:rFonts w:hint="default" w:ascii="Times New Roman" w:hAnsi="Times New Roman" w:eastAsia="仿宋_GB2312" w:cs="Times New Roman"/>
                <w:i w:val="0"/>
                <w:iCs w:val="0"/>
                <w:color w:val="000000"/>
                <w:kern w:val="0"/>
                <w:sz w:val="32"/>
                <w:szCs w:val="32"/>
                <w:u w:val="none"/>
                <w:lang w:val="en-US" w:eastAsia="zh-CN" w:bidi="ar"/>
              </w:rPr>
              <w:t>9</w:t>
            </w:r>
          </w:p>
        </w:tc>
        <w:tc>
          <w:tcPr>
            <w:tcW w:w="3796" w:type="dxa"/>
            <w:shd w:val="clear" w:color="auto" w:fill="auto"/>
            <w:noWrap w:val="0"/>
            <w:vAlign w:val="center"/>
          </w:tcPr>
          <w:p w14:paraId="31B20623">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2"/>
                <w:sz w:val="32"/>
                <w:szCs w:val="32"/>
                <w:u w:val="none"/>
                <w:lang w:val="en-US" w:eastAsia="zh-CN" w:bidi="ar-SA"/>
              </w:rPr>
            </w:pPr>
            <w:r>
              <w:rPr>
                <w:rFonts w:hint="default" w:ascii="Times New Roman" w:hAnsi="Times New Roman" w:eastAsia="仿宋_GB2312" w:cs="Times New Roman"/>
                <w:i w:val="0"/>
                <w:iCs w:val="0"/>
                <w:color w:val="000000"/>
                <w:kern w:val="0"/>
                <w:sz w:val="32"/>
                <w:szCs w:val="32"/>
                <w:u w:val="none"/>
                <w:lang w:val="en-US" w:eastAsia="zh-CN" w:bidi="ar"/>
              </w:rPr>
              <w:t>耐热</w:t>
            </w:r>
          </w:p>
        </w:tc>
        <w:tc>
          <w:tcPr>
            <w:tcW w:w="3949" w:type="dxa"/>
            <w:noWrap w:val="0"/>
            <w:vAlign w:val="center"/>
          </w:tcPr>
          <w:p w14:paraId="5F5956AB">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0"/>
                <w:sz w:val="32"/>
                <w:szCs w:val="32"/>
                <w:u w:val="none"/>
                <w:lang w:val="en-US" w:eastAsia="zh-CN" w:bidi="ar"/>
              </w:rPr>
            </w:pPr>
            <w:r>
              <w:rPr>
                <w:rFonts w:hint="default" w:ascii="Times New Roman" w:hAnsi="Times New Roman" w:eastAsia="仿宋_GB2312" w:cs="Times New Roman"/>
                <w:i w:val="0"/>
                <w:iCs w:val="0"/>
                <w:color w:val="000000"/>
                <w:kern w:val="0"/>
                <w:sz w:val="32"/>
                <w:szCs w:val="32"/>
                <w:u w:val="none"/>
                <w:lang w:val="en-US" w:eastAsia="zh-CN" w:bidi="ar"/>
              </w:rPr>
              <w:t>GB 42296-2022</w:t>
            </w:r>
          </w:p>
        </w:tc>
      </w:tr>
      <w:tr w14:paraId="6DA16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9" w:type="dxa"/>
            <w:noWrap w:val="0"/>
            <w:vAlign w:val="center"/>
          </w:tcPr>
          <w:p w14:paraId="2A5EE7FB">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0"/>
                <w:sz w:val="32"/>
                <w:szCs w:val="32"/>
                <w:u w:val="none"/>
                <w:lang w:val="en-US" w:eastAsia="zh-CN" w:bidi="ar"/>
              </w:rPr>
            </w:pPr>
            <w:r>
              <w:rPr>
                <w:rFonts w:hint="default" w:ascii="Times New Roman" w:hAnsi="Times New Roman" w:eastAsia="仿宋_GB2312" w:cs="Times New Roman"/>
                <w:i w:val="0"/>
                <w:iCs w:val="0"/>
                <w:color w:val="000000"/>
                <w:kern w:val="0"/>
                <w:sz w:val="32"/>
                <w:szCs w:val="32"/>
                <w:u w:val="none"/>
                <w:lang w:val="en-US" w:eastAsia="zh-CN" w:bidi="ar"/>
              </w:rPr>
              <w:t>10</w:t>
            </w:r>
          </w:p>
        </w:tc>
        <w:tc>
          <w:tcPr>
            <w:tcW w:w="3796" w:type="dxa"/>
            <w:shd w:val="clear" w:color="auto" w:fill="auto"/>
            <w:noWrap w:val="0"/>
            <w:vAlign w:val="center"/>
          </w:tcPr>
          <w:p w14:paraId="47AF8513">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2"/>
                <w:sz w:val="32"/>
                <w:szCs w:val="32"/>
                <w:u w:val="none"/>
                <w:lang w:val="en-US" w:eastAsia="zh-CN" w:bidi="ar-SA"/>
              </w:rPr>
            </w:pPr>
            <w:r>
              <w:rPr>
                <w:rFonts w:hint="default" w:ascii="Times New Roman" w:hAnsi="Times New Roman" w:eastAsia="仿宋_GB2312" w:cs="Times New Roman"/>
                <w:i w:val="0"/>
                <w:iCs w:val="0"/>
                <w:color w:val="000000"/>
                <w:kern w:val="0"/>
                <w:sz w:val="32"/>
                <w:szCs w:val="32"/>
                <w:u w:val="none"/>
                <w:lang w:val="en-US" w:eastAsia="zh-CN" w:bidi="ar"/>
              </w:rPr>
              <w:t>灼热丝</w:t>
            </w:r>
          </w:p>
        </w:tc>
        <w:tc>
          <w:tcPr>
            <w:tcW w:w="3949" w:type="dxa"/>
            <w:noWrap w:val="0"/>
            <w:vAlign w:val="center"/>
          </w:tcPr>
          <w:p w14:paraId="5DB7E578">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0"/>
                <w:sz w:val="32"/>
                <w:szCs w:val="32"/>
                <w:u w:val="none"/>
                <w:lang w:val="en-US" w:eastAsia="zh-CN" w:bidi="ar"/>
              </w:rPr>
            </w:pPr>
            <w:r>
              <w:rPr>
                <w:rFonts w:hint="default" w:ascii="Times New Roman" w:hAnsi="Times New Roman" w:eastAsia="仿宋_GB2312" w:cs="Times New Roman"/>
                <w:i w:val="0"/>
                <w:iCs w:val="0"/>
                <w:color w:val="000000"/>
                <w:kern w:val="0"/>
                <w:sz w:val="32"/>
                <w:szCs w:val="32"/>
                <w:u w:val="none"/>
                <w:lang w:val="en-US" w:eastAsia="zh-CN" w:bidi="ar"/>
              </w:rPr>
              <w:t>GB 42296-2022</w:t>
            </w:r>
          </w:p>
        </w:tc>
      </w:tr>
    </w:tbl>
    <w:p w14:paraId="3FFC3B06">
      <w:pPr>
        <w:keepNext w:val="0"/>
        <w:keepLines w:val="0"/>
        <w:pageBreakBefore w:val="0"/>
        <w:kinsoku/>
        <w:wordWrap/>
        <w:overflowPunct/>
        <w:topLinePunct w:val="0"/>
        <w:autoSpaceDE/>
        <w:autoSpaceDN/>
        <w:bidi w:val="0"/>
        <w:adjustRightInd/>
        <w:snapToGrid w:val="0"/>
        <w:spacing w:line="600" w:lineRule="exact"/>
        <w:ind w:firstLine="547" w:firstLineChars="171"/>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执行企业标准、团体标准、地方标准的产品，检验项目参照上述内容执行。</w:t>
      </w:r>
    </w:p>
    <w:p w14:paraId="4C239D31">
      <w:pPr>
        <w:keepNext w:val="0"/>
        <w:keepLines w:val="0"/>
        <w:pageBreakBefore w:val="0"/>
        <w:kinsoku/>
        <w:wordWrap/>
        <w:overflowPunct/>
        <w:topLinePunct w:val="0"/>
        <w:autoSpaceDE/>
        <w:autoSpaceDN/>
        <w:bidi w:val="0"/>
        <w:adjustRightInd/>
        <w:snapToGrid w:val="0"/>
        <w:spacing w:line="600" w:lineRule="exact"/>
        <w:ind w:firstLine="547" w:firstLineChars="171"/>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凡是注日期的文件，其随后所有的修改单（不包括勘误的内容）或修订版不适用于本细则。凡是不注日期的文件，其最新版本适用于本细则。</w:t>
      </w:r>
    </w:p>
    <w:p w14:paraId="6A39D43E">
      <w:pPr>
        <w:keepNext w:val="0"/>
        <w:keepLines w:val="0"/>
        <w:pageBreakBefore w:val="0"/>
        <w:kinsoku/>
        <w:wordWrap/>
        <w:overflowPunct/>
        <w:topLinePunct w:val="0"/>
        <w:autoSpaceDE/>
        <w:autoSpaceDN/>
        <w:bidi w:val="0"/>
        <w:adjustRightInd/>
        <w:snapToGrid w:val="0"/>
        <w:spacing w:line="600" w:lineRule="exact"/>
        <w:rPr>
          <w:rFonts w:hint="default" w:ascii="Times New Roman" w:hAnsi="Times New Roman" w:eastAsia="黑体" w:cs="Times New Roman"/>
          <w:b w:val="0"/>
          <w:bCs w:val="0"/>
          <w:color w:val="000000"/>
          <w:sz w:val="32"/>
          <w:szCs w:val="32"/>
        </w:rPr>
      </w:pPr>
      <w:r>
        <w:rPr>
          <w:rFonts w:hint="default" w:ascii="Times New Roman" w:hAnsi="Times New Roman" w:eastAsia="黑体" w:cs="Times New Roman"/>
          <w:b w:val="0"/>
          <w:bCs w:val="0"/>
          <w:color w:val="000000"/>
          <w:sz w:val="32"/>
          <w:szCs w:val="32"/>
        </w:rPr>
        <w:t>3 判定规则</w:t>
      </w:r>
    </w:p>
    <w:p w14:paraId="587C54F5">
      <w:pPr>
        <w:keepNext w:val="0"/>
        <w:keepLines w:val="0"/>
        <w:pageBreakBefore w:val="0"/>
        <w:kinsoku/>
        <w:wordWrap/>
        <w:overflowPunct/>
        <w:topLinePunct w:val="0"/>
        <w:autoSpaceDE/>
        <w:autoSpaceDN/>
        <w:bidi w:val="0"/>
        <w:adjustRightInd/>
        <w:snapToGrid w:val="0"/>
        <w:spacing w:line="600" w:lineRule="exact"/>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3.1依据标准</w:t>
      </w:r>
    </w:p>
    <w:p w14:paraId="3497E304">
      <w:pPr>
        <w:keepNext w:val="0"/>
        <w:keepLines w:val="0"/>
        <w:pageBreakBefore w:val="0"/>
        <w:kinsoku/>
        <w:wordWrap/>
        <w:overflowPunct/>
        <w:topLinePunct w:val="0"/>
        <w:autoSpaceDE/>
        <w:autoSpaceDN/>
        <w:bidi w:val="0"/>
        <w:adjustRightInd/>
        <w:snapToGrid w:val="0"/>
        <w:spacing w:line="600" w:lineRule="exact"/>
        <w:ind w:firstLine="547" w:firstLineChars="171"/>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i w:val="0"/>
          <w:iCs w:val="0"/>
          <w:color w:val="000000"/>
          <w:kern w:val="0"/>
          <w:sz w:val="32"/>
          <w:szCs w:val="32"/>
          <w:u w:val="none"/>
          <w:lang w:val="en-US" w:eastAsia="zh-CN" w:bidi="ar"/>
        </w:rPr>
        <w:t>GB 42296-2022电动自行车用充电器安全技术要求</w:t>
      </w:r>
    </w:p>
    <w:p w14:paraId="5FBD4FC6">
      <w:pPr>
        <w:keepNext w:val="0"/>
        <w:keepLines w:val="0"/>
        <w:pageBreakBefore w:val="0"/>
        <w:kinsoku/>
        <w:wordWrap/>
        <w:overflowPunct/>
        <w:topLinePunct w:val="0"/>
        <w:autoSpaceDE/>
        <w:autoSpaceDN/>
        <w:bidi w:val="0"/>
        <w:adjustRightInd/>
        <w:snapToGrid w:val="0"/>
        <w:spacing w:line="600" w:lineRule="exact"/>
        <w:ind w:firstLine="547" w:firstLineChars="171"/>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rPr>
        <w:t>现</w:t>
      </w:r>
      <w:bookmarkStart w:id="0" w:name="_GoBack"/>
      <w:bookmarkEnd w:id="0"/>
      <w:r>
        <w:rPr>
          <w:rFonts w:hint="default" w:ascii="Times New Roman" w:hAnsi="Times New Roman" w:eastAsia="仿宋_GB2312" w:cs="Times New Roman"/>
          <w:color w:val="000000"/>
          <w:sz w:val="32"/>
          <w:szCs w:val="32"/>
        </w:rPr>
        <w:t>行有效的企业标准、团体标准、地方标准及产品明示质量要求</w:t>
      </w:r>
      <w:r>
        <w:rPr>
          <w:rFonts w:hint="default" w:ascii="Times New Roman" w:hAnsi="Times New Roman" w:eastAsia="仿宋_GB2312" w:cs="Times New Roman"/>
          <w:color w:val="000000"/>
          <w:sz w:val="32"/>
          <w:szCs w:val="32"/>
          <w:lang w:eastAsia="zh-CN"/>
        </w:rPr>
        <w:t>。</w:t>
      </w:r>
    </w:p>
    <w:p w14:paraId="62B05CB0">
      <w:pPr>
        <w:keepNext w:val="0"/>
        <w:keepLines w:val="0"/>
        <w:pageBreakBefore w:val="0"/>
        <w:kinsoku/>
        <w:wordWrap/>
        <w:overflowPunct/>
        <w:topLinePunct w:val="0"/>
        <w:autoSpaceDE/>
        <w:autoSpaceDN/>
        <w:bidi w:val="0"/>
        <w:adjustRightInd/>
        <w:snapToGrid w:val="0"/>
        <w:spacing w:line="600" w:lineRule="exact"/>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3.2判定原则</w:t>
      </w:r>
    </w:p>
    <w:p w14:paraId="4AC28662">
      <w:pPr>
        <w:keepNext w:val="0"/>
        <w:keepLines w:val="0"/>
        <w:pageBreakBefore w:val="0"/>
        <w:kinsoku/>
        <w:wordWrap/>
        <w:overflowPunct/>
        <w:topLinePunct w:val="0"/>
        <w:autoSpaceDE/>
        <w:autoSpaceDN/>
        <w:bidi w:val="0"/>
        <w:adjustRightInd/>
        <w:snapToGrid w:val="0"/>
        <w:spacing w:line="60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经检验，检验项目全部合格，判定为被抽查产品所检项目未发现不合格；检验项目中任一项或一项以上不合格，判定为被抽查产品不合格。</w:t>
      </w:r>
    </w:p>
    <w:p w14:paraId="1334FAAC">
      <w:pPr>
        <w:keepNext w:val="0"/>
        <w:keepLines w:val="0"/>
        <w:pageBreakBefore w:val="0"/>
        <w:kinsoku/>
        <w:wordWrap/>
        <w:overflowPunct/>
        <w:topLinePunct w:val="0"/>
        <w:autoSpaceDE/>
        <w:autoSpaceDN/>
        <w:bidi w:val="0"/>
        <w:adjustRightInd/>
        <w:snapToGrid w:val="0"/>
        <w:spacing w:line="600" w:lineRule="exact"/>
        <w:ind w:firstLine="636" w:firstLineChars="199"/>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若被检产品明示的质量要求高于本细则中检验项目依据的标准要求时，应按被检产品明示的质量要求判定。</w:t>
      </w:r>
    </w:p>
    <w:p w14:paraId="7A92A4E2">
      <w:pPr>
        <w:keepNext w:val="0"/>
        <w:keepLines w:val="0"/>
        <w:pageBreakBefore w:val="0"/>
        <w:kinsoku/>
        <w:wordWrap/>
        <w:overflowPunct/>
        <w:topLinePunct w:val="0"/>
        <w:autoSpaceDE/>
        <w:autoSpaceDN/>
        <w:bidi w:val="0"/>
        <w:adjustRightInd/>
        <w:snapToGrid w:val="0"/>
        <w:spacing w:line="600" w:lineRule="exact"/>
        <w:ind w:firstLine="636" w:firstLineChars="199"/>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若被检产品明示的质量要求低于本细则中检验项目依据的强制性标准要求时，应按照强制性标准要求判定。</w:t>
      </w:r>
    </w:p>
    <w:p w14:paraId="0288147D">
      <w:pPr>
        <w:keepNext w:val="0"/>
        <w:keepLines w:val="0"/>
        <w:pageBreakBefore w:val="0"/>
        <w:kinsoku/>
        <w:wordWrap/>
        <w:overflowPunct/>
        <w:topLinePunct w:val="0"/>
        <w:autoSpaceDE/>
        <w:autoSpaceDN/>
        <w:bidi w:val="0"/>
        <w:adjustRightInd/>
        <w:snapToGrid w:val="0"/>
        <w:spacing w:line="600" w:lineRule="exact"/>
        <w:ind w:firstLine="636" w:firstLineChars="199"/>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若被检产品明示的质量要求低于或包含本细则中检验项目依据的推荐性标准要求时，应以被检产品明示的质量要求判定。</w:t>
      </w:r>
    </w:p>
    <w:p w14:paraId="64810C69">
      <w:pPr>
        <w:keepNext w:val="0"/>
        <w:keepLines w:val="0"/>
        <w:pageBreakBefore w:val="0"/>
        <w:kinsoku/>
        <w:wordWrap/>
        <w:overflowPunct/>
        <w:topLinePunct w:val="0"/>
        <w:autoSpaceDE/>
        <w:autoSpaceDN/>
        <w:bidi w:val="0"/>
        <w:adjustRightInd/>
        <w:snapToGrid w:val="0"/>
        <w:spacing w:line="600" w:lineRule="exact"/>
        <w:ind w:firstLine="636" w:firstLineChars="199"/>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若被检产品明示的质量要求缺少本细则中检验项目依据的强制性标准要求时，应按照强制性标准要求判定。</w:t>
      </w:r>
    </w:p>
    <w:p w14:paraId="2D53ACD8">
      <w:pPr>
        <w:keepNext w:val="0"/>
        <w:keepLines w:val="0"/>
        <w:pageBreakBefore w:val="0"/>
        <w:kinsoku/>
        <w:wordWrap/>
        <w:overflowPunct/>
        <w:topLinePunct w:val="0"/>
        <w:autoSpaceDE/>
        <w:autoSpaceDN/>
        <w:bidi w:val="0"/>
        <w:adjustRightInd/>
        <w:snapToGrid w:val="0"/>
        <w:spacing w:line="600" w:lineRule="exact"/>
        <w:ind w:firstLine="636" w:firstLineChars="199"/>
        <w:rPr>
          <w:rFonts w:hint="default" w:ascii="Times New Roman" w:hAnsi="Times New Roman" w:eastAsia="仿宋_GB2312" w:cs="Times New Roman"/>
          <w:color w:val="FF0000"/>
          <w:sz w:val="32"/>
          <w:szCs w:val="32"/>
        </w:rPr>
      </w:pPr>
      <w:r>
        <w:rPr>
          <w:rFonts w:hint="default" w:ascii="Times New Roman" w:hAnsi="Times New Roman" w:eastAsia="仿宋_GB2312" w:cs="Times New Roman"/>
          <w:color w:val="000000"/>
          <w:sz w:val="32"/>
          <w:szCs w:val="32"/>
        </w:rPr>
        <w:t>若被检产品明示的质量要求缺少本细则中检验项目依据的推荐性标准要求时，该项目不参与判定。</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0416AFE-0BAB-4C01-AD3B-A83DAACC512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2" w:fontKey="{E0D19A50-BDC7-4D21-B17B-B86EF8F0CD06}"/>
  </w:font>
  <w:font w:name="楷体_GB2312">
    <w:panose1 w:val="02010609030101010101"/>
    <w:charset w:val="86"/>
    <w:family w:val="auto"/>
    <w:pitch w:val="default"/>
    <w:sig w:usb0="00000001" w:usb1="080E0000" w:usb2="00000000" w:usb3="00000000" w:csb0="00040000" w:csb1="00000000"/>
    <w:embedRegular r:id="rId3" w:fontKey="{106F5387-4961-4C7E-B4D5-43B9B309789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E70CE">
    <w:pPr>
      <w:pStyle w:val="3"/>
      <w:jc w:val="center"/>
    </w:pPr>
    <w:r>
      <w:rPr>
        <w:lang w:val="zh-CN"/>
      </w:rPr>
      <w:fldChar w:fldCharType="begin"/>
    </w:r>
    <w:r>
      <w:rPr>
        <w:lang w:val="zh-CN"/>
      </w:rPr>
      <w:instrText xml:space="preserve"> PAGE   \* MERGEFORMAT </w:instrText>
    </w:r>
    <w:r>
      <w:rPr>
        <w:lang w:val="zh-CN"/>
      </w:rPr>
      <w:fldChar w:fldCharType="separate"/>
    </w:r>
    <w:r>
      <w:t>4</w:t>
    </w:r>
    <w:r>
      <w:rPr>
        <w:lang w:val="zh-CN"/>
      </w:rPr>
      <w:fldChar w:fldCharType="end"/>
    </w:r>
  </w:p>
  <w:p w14:paraId="0CDE1BB0">
    <w:pPr>
      <w:pStyle w:val="3"/>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D7159">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c0MTY5ZWZkMWRiZTVmYTYzZTQ5MWFhZmRhZTBhMjEifQ=="/>
  </w:docVars>
  <w:rsids>
    <w:rsidRoot w:val="046A1EF1"/>
    <w:rsid w:val="046A1EF1"/>
    <w:rsid w:val="0A204954"/>
    <w:rsid w:val="0B783FE8"/>
    <w:rsid w:val="0F442111"/>
    <w:rsid w:val="1BF40545"/>
    <w:rsid w:val="1EA57152"/>
    <w:rsid w:val="1F487732"/>
    <w:rsid w:val="242D5BE6"/>
    <w:rsid w:val="2B2427C4"/>
    <w:rsid w:val="48E8255B"/>
    <w:rsid w:val="4E994B9F"/>
    <w:rsid w:val="676962BE"/>
    <w:rsid w:val="6F7B6F1E"/>
    <w:rsid w:val="76651C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sz w:val="24"/>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662</Words>
  <Characters>780</Characters>
  <Lines>0</Lines>
  <Paragraphs>0</Paragraphs>
  <TotalTime>1</TotalTime>
  <ScaleCrop>false</ScaleCrop>
  <LinksUpToDate>false</LinksUpToDate>
  <CharactersWithSpaces>795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2024-08-12T07:32:00Z</dcterms:created>
  <dc:creator>.</dc:creator>
  <cp:lastModifiedBy>一页旧城</cp:lastModifiedBy>
  <dcterms:modified xsi:type="dcterms:W3CDTF">2026-10-26T01:48:43Z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E912830DFBB947A79C9BD38B613E711A_11</vt:lpwstr>
  </property>
  <property fmtid="{D5CDD505-2E9C-101B-9397-08002B2CF9AE}" pid="4" name="KSOTemplateDocerSaveRecord">
    <vt:lpwstr>eyJoZGlkIjoiZjgyMDYxMTg5YWE2NjBiOGMwOTVlOThkNzEwZTUzMTMiLCJ1c2VySWQiOiIyNzIxMTM0ODcifQ==</vt:lpwstr>
  </property>
</Properties>
</file>