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9C22C">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食品接触用塑料包装膜、袋产品质量监督抽查实施细则（2026版）</w:t>
      </w:r>
    </w:p>
    <w:p w14:paraId="74457809">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rPr>
      </w:pPr>
    </w:p>
    <w:p w14:paraId="71678624">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1E4D3499">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734F0616">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474F972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每批次产品抽取样品数量见表</w:t>
      </w:r>
      <w:r>
        <w:rPr>
          <w:rFonts w:hint="default" w:ascii="Times New Roman" w:hAnsi="Times New Roman" w:eastAsia="仿宋_GB2312" w:cs="Times New Roman"/>
          <w:color w:val="auto"/>
          <w:sz w:val="32"/>
          <w:szCs w:val="32"/>
          <w:highlight w:val="none"/>
          <w:lang w:val="en-US" w:eastAsia="zh-CN"/>
        </w:rPr>
        <w:t>1。</w:t>
      </w:r>
    </w:p>
    <w:p w14:paraId="2E51D7F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 xml:space="preserve">表1 </w:t>
      </w:r>
      <w:r>
        <w:rPr>
          <w:rFonts w:hint="default" w:ascii="Times New Roman" w:hAnsi="Times New Roman" w:eastAsia="楷体_GB2312" w:cs="Times New Roman"/>
          <w:color w:val="auto"/>
          <w:sz w:val="32"/>
          <w:szCs w:val="32"/>
          <w:highlight w:val="none"/>
          <w:lang w:val="en-US" w:eastAsia="zh-CN"/>
        </w:rPr>
        <w:t>产品</w:t>
      </w:r>
      <w:r>
        <w:rPr>
          <w:rFonts w:hint="default" w:ascii="Times New Roman" w:hAnsi="Times New Roman" w:eastAsia="楷体_GB2312" w:cs="Times New Roman"/>
          <w:color w:val="auto"/>
          <w:sz w:val="32"/>
          <w:szCs w:val="32"/>
        </w:rPr>
        <w:t>抽样数量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1318"/>
        <w:gridCol w:w="536"/>
        <w:gridCol w:w="2120"/>
        <w:gridCol w:w="1983"/>
        <w:gridCol w:w="1983"/>
      </w:tblGrid>
      <w:tr w14:paraId="69F3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noWrap w:val="0"/>
            <w:vAlign w:val="center"/>
          </w:tcPr>
          <w:p w14:paraId="2AF85CD9">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序号</w:t>
            </w:r>
          </w:p>
        </w:tc>
        <w:tc>
          <w:tcPr>
            <w:tcW w:w="0" w:type="auto"/>
            <w:gridSpan w:val="2"/>
            <w:noWrap w:val="0"/>
            <w:vAlign w:val="center"/>
          </w:tcPr>
          <w:p w14:paraId="1985F66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产品种类</w:t>
            </w:r>
          </w:p>
        </w:tc>
        <w:tc>
          <w:tcPr>
            <w:tcW w:w="0" w:type="auto"/>
            <w:noWrap w:val="0"/>
            <w:vAlign w:val="center"/>
          </w:tcPr>
          <w:p w14:paraId="6FCEEB8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抽样数量</w:t>
            </w:r>
          </w:p>
        </w:tc>
        <w:tc>
          <w:tcPr>
            <w:tcW w:w="0" w:type="auto"/>
            <w:noWrap w:val="0"/>
            <w:vAlign w:val="center"/>
          </w:tcPr>
          <w:p w14:paraId="6B3E8EFC">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检验样品数量</w:t>
            </w:r>
          </w:p>
        </w:tc>
        <w:tc>
          <w:tcPr>
            <w:tcW w:w="0" w:type="auto"/>
            <w:noWrap w:val="0"/>
            <w:vAlign w:val="center"/>
          </w:tcPr>
          <w:p w14:paraId="6560AD5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备用样品数量</w:t>
            </w:r>
          </w:p>
        </w:tc>
      </w:tr>
      <w:tr w14:paraId="1EA1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restart"/>
            <w:noWrap w:val="0"/>
            <w:vAlign w:val="center"/>
          </w:tcPr>
          <w:p w14:paraId="3D7E58D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p>
        </w:tc>
        <w:tc>
          <w:tcPr>
            <w:tcW w:w="0" w:type="auto"/>
            <w:vMerge w:val="restart"/>
            <w:noWrap w:val="0"/>
            <w:vAlign w:val="center"/>
          </w:tcPr>
          <w:p w14:paraId="676824E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食品接触用塑料包装膜、</w:t>
            </w:r>
            <w:r>
              <w:rPr>
                <w:rFonts w:hint="default" w:ascii="Times New Roman" w:hAnsi="Times New Roman" w:eastAsia="仿宋_GB2312" w:cs="Times New Roman"/>
                <w:color w:val="auto"/>
                <w:sz w:val="32"/>
                <w:szCs w:val="32"/>
                <w:highlight w:val="none"/>
                <w:lang w:val="en-US" w:eastAsia="zh-CN"/>
              </w:rPr>
              <w:t>袋</w:t>
            </w:r>
          </w:p>
        </w:tc>
        <w:tc>
          <w:tcPr>
            <w:tcW w:w="0" w:type="auto"/>
            <w:noWrap w:val="0"/>
            <w:vAlign w:val="center"/>
          </w:tcPr>
          <w:p w14:paraId="3FAD408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rPr>
              <w:t>袋</w:t>
            </w:r>
          </w:p>
        </w:tc>
        <w:tc>
          <w:tcPr>
            <w:tcW w:w="0" w:type="auto"/>
            <w:noWrap w:val="0"/>
            <w:vAlign w:val="center"/>
          </w:tcPr>
          <w:p w14:paraId="7379E47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color w:val="auto"/>
                <w:kern w:val="0"/>
                <w:sz w:val="32"/>
                <w:szCs w:val="32"/>
                <w:highlight w:val="none"/>
                <w:u w:val="none"/>
                <w:lang w:val="en-US" w:eastAsia="zh-CN" w:bidi="ar"/>
              </w:rPr>
              <w:t>不少于100个</w:t>
            </w:r>
          </w:p>
        </w:tc>
        <w:tc>
          <w:tcPr>
            <w:tcW w:w="0" w:type="auto"/>
            <w:noWrap w:val="0"/>
            <w:vAlign w:val="center"/>
          </w:tcPr>
          <w:p w14:paraId="0B58695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color w:val="auto"/>
                <w:kern w:val="0"/>
                <w:sz w:val="32"/>
                <w:szCs w:val="32"/>
                <w:highlight w:val="none"/>
                <w:u w:val="none"/>
                <w:lang w:val="en-US" w:eastAsia="zh-CN" w:bidi="ar"/>
              </w:rPr>
              <w:t>不少于50个</w:t>
            </w:r>
          </w:p>
        </w:tc>
        <w:tc>
          <w:tcPr>
            <w:tcW w:w="0" w:type="auto"/>
            <w:noWrap w:val="0"/>
            <w:vAlign w:val="center"/>
          </w:tcPr>
          <w:p w14:paraId="5EB229F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color w:val="auto"/>
                <w:kern w:val="0"/>
                <w:sz w:val="32"/>
                <w:szCs w:val="32"/>
                <w:highlight w:val="none"/>
                <w:u w:val="none"/>
                <w:lang w:val="en-US" w:eastAsia="zh-CN" w:bidi="ar"/>
              </w:rPr>
              <w:t>不少于50个</w:t>
            </w:r>
          </w:p>
        </w:tc>
      </w:tr>
      <w:tr w14:paraId="33BD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noWrap w:val="0"/>
            <w:vAlign w:val="center"/>
          </w:tcPr>
          <w:p w14:paraId="1E5AD74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p>
        </w:tc>
        <w:tc>
          <w:tcPr>
            <w:tcW w:w="0" w:type="auto"/>
            <w:vMerge w:val="continue"/>
            <w:noWrap w:val="0"/>
            <w:vAlign w:val="center"/>
          </w:tcPr>
          <w:p w14:paraId="24DFB0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仿宋_GB2312" w:cs="Times New Roman"/>
                <w:color w:val="auto"/>
                <w:sz w:val="32"/>
                <w:szCs w:val="32"/>
                <w:highlight w:val="none"/>
              </w:rPr>
            </w:pPr>
          </w:p>
        </w:tc>
        <w:tc>
          <w:tcPr>
            <w:tcW w:w="0" w:type="auto"/>
            <w:noWrap w:val="0"/>
            <w:vAlign w:val="center"/>
          </w:tcPr>
          <w:p w14:paraId="6C9353F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rPr>
              <w:t>膜</w:t>
            </w:r>
          </w:p>
        </w:tc>
        <w:tc>
          <w:tcPr>
            <w:tcW w:w="0" w:type="auto"/>
            <w:gridSpan w:val="3"/>
            <w:noWrap w:val="0"/>
            <w:vAlign w:val="center"/>
          </w:tcPr>
          <w:p w14:paraId="5DCE142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color w:val="auto"/>
                <w:kern w:val="0"/>
                <w:sz w:val="32"/>
                <w:szCs w:val="32"/>
                <w:highlight w:val="none"/>
                <w:u w:val="none"/>
                <w:lang w:val="en-US" w:eastAsia="zh-CN" w:bidi="ar"/>
              </w:rPr>
              <w:t>随机抽取同一生产者同一标准生产的同一商标、同一规格型号的产品3卷（每卷膜外层除去至少2m，膜卷宽度应在200mm以上），每卷取</w:t>
            </w:r>
            <w:bookmarkStart w:id="0" w:name="_GoBack"/>
            <w:bookmarkEnd w:id="0"/>
            <w:r>
              <w:rPr>
                <w:rFonts w:hint="default" w:ascii="Times New Roman" w:hAnsi="Times New Roman" w:eastAsia="仿宋_GB2312" w:cs="Times New Roman"/>
                <w:i w:val="0"/>
                <w:color w:val="auto"/>
                <w:kern w:val="0"/>
                <w:sz w:val="32"/>
                <w:szCs w:val="32"/>
                <w:highlight w:val="none"/>
                <w:u w:val="none"/>
                <w:lang w:val="en-US" w:eastAsia="zh-CN" w:bidi="ar"/>
              </w:rPr>
              <w:t>不少于7.5m</w:t>
            </w:r>
            <w:r>
              <w:rPr>
                <w:rFonts w:hint="default" w:ascii="Times New Roman" w:hAnsi="Times New Roman" w:eastAsia="仿宋_GB2312" w:cs="Times New Roman"/>
                <w:i w:val="0"/>
                <w:color w:val="auto"/>
                <w:kern w:val="0"/>
                <w:sz w:val="32"/>
                <w:szCs w:val="32"/>
                <w:highlight w:val="none"/>
                <w:u w:val="none"/>
                <w:vertAlign w:val="superscript"/>
                <w:lang w:val="en-US" w:eastAsia="zh-CN" w:bidi="ar"/>
              </w:rPr>
              <w:t>2</w:t>
            </w:r>
            <w:r>
              <w:rPr>
                <w:rFonts w:hint="default" w:ascii="Times New Roman" w:hAnsi="Times New Roman" w:eastAsia="仿宋_GB2312" w:cs="Times New Roman"/>
                <w:i w:val="0"/>
                <w:color w:val="auto"/>
                <w:kern w:val="0"/>
                <w:sz w:val="32"/>
                <w:szCs w:val="32"/>
                <w:highlight w:val="none"/>
                <w:u w:val="none"/>
                <w:lang w:val="en-US" w:eastAsia="zh-CN" w:bidi="ar"/>
              </w:rPr>
              <w:t>，其中2卷作为检样，1卷作为备样。样品不得折叠，应以管芯卷轴小心卷好后封样。</w:t>
            </w:r>
          </w:p>
        </w:tc>
      </w:tr>
    </w:tbl>
    <w:p w14:paraId="1378FC11">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62BBFE40">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highlight w:val="none"/>
          <w:lang w:val="en-US" w:eastAsia="zh-CN"/>
        </w:rPr>
        <w:t>表2 食品接触用塑料包装膜、袋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3096"/>
        <w:gridCol w:w="2688"/>
      </w:tblGrid>
      <w:tr w14:paraId="797D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0" w:type="auto"/>
            <w:noWrap w:val="0"/>
            <w:vAlign w:val="center"/>
          </w:tcPr>
          <w:p w14:paraId="3452F7B3">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0" w:type="auto"/>
            <w:noWrap w:val="0"/>
            <w:vAlign w:val="center"/>
          </w:tcPr>
          <w:p w14:paraId="27E9B011">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0" w:type="auto"/>
            <w:noWrap w:val="0"/>
            <w:vAlign w:val="center"/>
          </w:tcPr>
          <w:p w14:paraId="59DADACD">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14:paraId="0666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711ADCD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1</w:t>
            </w:r>
          </w:p>
        </w:tc>
        <w:tc>
          <w:tcPr>
            <w:tcW w:w="0" w:type="auto"/>
            <w:shd w:val="clear" w:color="auto" w:fill="auto"/>
            <w:noWrap w:val="0"/>
            <w:vAlign w:val="center"/>
          </w:tcPr>
          <w:p w14:paraId="65DDCFB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感官要求</w:t>
            </w:r>
          </w:p>
        </w:tc>
        <w:tc>
          <w:tcPr>
            <w:tcW w:w="0" w:type="auto"/>
            <w:noWrap w:val="0"/>
            <w:vAlign w:val="center"/>
          </w:tcPr>
          <w:p w14:paraId="4808D87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Cs/>
                <w:color w:val="auto"/>
                <w:sz w:val="32"/>
                <w:szCs w:val="32"/>
                <w:highlight w:val="none"/>
                <w:lang w:val="en-US" w:eastAsia="zh-CN"/>
              </w:rPr>
              <w:t>GB 4806.7-2023</w:t>
            </w:r>
          </w:p>
        </w:tc>
      </w:tr>
      <w:tr w14:paraId="7B29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238823F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2</w:t>
            </w:r>
          </w:p>
        </w:tc>
        <w:tc>
          <w:tcPr>
            <w:tcW w:w="0" w:type="auto"/>
            <w:shd w:val="clear" w:color="auto" w:fill="auto"/>
            <w:noWrap w:val="0"/>
            <w:vAlign w:val="center"/>
          </w:tcPr>
          <w:p w14:paraId="05B590E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总迁移量</w:t>
            </w:r>
          </w:p>
        </w:tc>
        <w:tc>
          <w:tcPr>
            <w:tcW w:w="0" w:type="auto"/>
            <w:noWrap w:val="0"/>
            <w:vAlign w:val="center"/>
          </w:tcPr>
          <w:p w14:paraId="69849C3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Cs/>
                <w:color w:val="auto"/>
                <w:sz w:val="32"/>
                <w:szCs w:val="32"/>
                <w:highlight w:val="none"/>
                <w:lang w:val="en-US" w:eastAsia="zh-CN"/>
              </w:rPr>
              <w:t>GB 31604.8-2021</w:t>
            </w:r>
          </w:p>
        </w:tc>
      </w:tr>
      <w:tr w14:paraId="7327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73A4026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3</w:t>
            </w:r>
          </w:p>
        </w:tc>
        <w:tc>
          <w:tcPr>
            <w:tcW w:w="0" w:type="auto"/>
            <w:shd w:val="clear" w:color="auto" w:fill="auto"/>
            <w:noWrap w:val="0"/>
            <w:vAlign w:val="center"/>
          </w:tcPr>
          <w:p w14:paraId="2ACBF13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高锰酸钾消耗量</w:t>
            </w:r>
          </w:p>
        </w:tc>
        <w:tc>
          <w:tcPr>
            <w:tcW w:w="0" w:type="auto"/>
            <w:noWrap w:val="0"/>
            <w:vAlign w:val="center"/>
          </w:tcPr>
          <w:p w14:paraId="384B3AA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auto"/>
                <w:sz w:val="32"/>
                <w:szCs w:val="32"/>
                <w:highlight w:val="none"/>
                <w:lang w:val="en-US" w:eastAsia="zh-CN"/>
              </w:rPr>
              <w:t>GB 31604.2-2016</w:t>
            </w:r>
          </w:p>
        </w:tc>
      </w:tr>
      <w:tr w14:paraId="4445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7E455C2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4</w:t>
            </w:r>
          </w:p>
        </w:tc>
        <w:tc>
          <w:tcPr>
            <w:tcW w:w="0" w:type="auto"/>
            <w:shd w:val="clear" w:color="auto" w:fill="auto"/>
            <w:noWrap w:val="0"/>
            <w:vAlign w:val="center"/>
          </w:tcPr>
          <w:p w14:paraId="09E545C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重金属(以Pb计)</w:t>
            </w:r>
          </w:p>
        </w:tc>
        <w:tc>
          <w:tcPr>
            <w:tcW w:w="0" w:type="auto"/>
            <w:noWrap w:val="0"/>
            <w:vAlign w:val="center"/>
          </w:tcPr>
          <w:p w14:paraId="57DD992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auto"/>
                <w:sz w:val="32"/>
                <w:szCs w:val="32"/>
                <w:highlight w:val="none"/>
                <w:lang w:val="en-US" w:eastAsia="zh-CN"/>
              </w:rPr>
              <w:t>GB 31604.9-2016</w:t>
            </w:r>
          </w:p>
        </w:tc>
      </w:tr>
      <w:tr w14:paraId="4596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0F16DDC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5</w:t>
            </w:r>
          </w:p>
        </w:tc>
        <w:tc>
          <w:tcPr>
            <w:tcW w:w="0" w:type="auto"/>
            <w:shd w:val="clear" w:color="auto" w:fill="auto"/>
            <w:noWrap w:val="0"/>
            <w:vAlign w:val="center"/>
          </w:tcPr>
          <w:p w14:paraId="40921C5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脱色试验</w:t>
            </w:r>
          </w:p>
        </w:tc>
        <w:tc>
          <w:tcPr>
            <w:tcW w:w="0" w:type="auto"/>
            <w:noWrap w:val="0"/>
            <w:vAlign w:val="center"/>
          </w:tcPr>
          <w:p w14:paraId="742D558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auto"/>
                <w:sz w:val="32"/>
                <w:szCs w:val="32"/>
                <w:highlight w:val="none"/>
                <w:lang w:val="en-US" w:eastAsia="zh-CN"/>
              </w:rPr>
              <w:t>GB 31604.7-2023</w:t>
            </w:r>
          </w:p>
        </w:tc>
      </w:tr>
      <w:tr w14:paraId="1FD3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19BF055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6</w:t>
            </w:r>
          </w:p>
        </w:tc>
        <w:tc>
          <w:tcPr>
            <w:tcW w:w="0" w:type="auto"/>
            <w:shd w:val="clear" w:color="auto" w:fill="auto"/>
            <w:noWrap w:val="0"/>
            <w:vAlign w:val="center"/>
          </w:tcPr>
          <w:p w14:paraId="1E790AE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芳香族伯胺迁移总量</w:t>
            </w:r>
          </w:p>
        </w:tc>
        <w:tc>
          <w:tcPr>
            <w:tcW w:w="0" w:type="auto"/>
            <w:noWrap w:val="0"/>
            <w:vAlign w:val="center"/>
          </w:tcPr>
          <w:p w14:paraId="46C29C1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GB 31604.52-20</w:t>
            </w:r>
            <w:r>
              <w:rPr>
                <w:rFonts w:hint="default" w:ascii="Times New Roman" w:hAnsi="Times New Roman" w:eastAsia="仿宋_GB2312" w:cs="Times New Roman"/>
                <w:color w:val="000000"/>
                <w:sz w:val="32"/>
                <w:szCs w:val="32"/>
                <w:lang w:val="en-US" w:eastAsia="zh-CN"/>
              </w:rPr>
              <w:t>21</w:t>
            </w:r>
          </w:p>
        </w:tc>
      </w:tr>
    </w:tbl>
    <w:p w14:paraId="0B30EFB3">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712B2B72">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w:t>
      </w:r>
      <w:r>
        <w:rPr>
          <w:rFonts w:hint="default" w:ascii="Times New Roman" w:hAnsi="Times New Roman" w:eastAsia="仿宋_GB2312" w:cs="Times New Roman"/>
          <w:color w:val="000000"/>
          <w:sz w:val="32"/>
          <w:szCs w:val="32"/>
          <w:lang w:eastAsia="zh-CN"/>
        </w:rPr>
        <w:t>注明</w:t>
      </w:r>
      <w:r>
        <w:rPr>
          <w:rFonts w:hint="default" w:ascii="Times New Roman" w:hAnsi="Times New Roman" w:eastAsia="仿宋_GB2312" w:cs="Times New Roman"/>
          <w:color w:val="000000"/>
          <w:sz w:val="32"/>
          <w:szCs w:val="32"/>
        </w:rPr>
        <w:t>日期的文件，其随后所有的修改单（不包括勘误的内容）或修订版不适用于本细则。凡是不</w:t>
      </w:r>
      <w:r>
        <w:rPr>
          <w:rFonts w:hint="default" w:ascii="Times New Roman" w:hAnsi="Times New Roman" w:eastAsia="仿宋_GB2312" w:cs="Times New Roman"/>
          <w:color w:val="000000"/>
          <w:sz w:val="32"/>
          <w:szCs w:val="32"/>
          <w:lang w:eastAsia="zh-CN"/>
        </w:rPr>
        <w:t>注明</w:t>
      </w:r>
      <w:r>
        <w:rPr>
          <w:rFonts w:hint="default" w:ascii="Times New Roman" w:hAnsi="Times New Roman" w:eastAsia="仿宋_GB2312" w:cs="Times New Roman"/>
          <w:color w:val="000000"/>
          <w:sz w:val="32"/>
          <w:szCs w:val="32"/>
        </w:rPr>
        <w:t>日期的文件，其最新版本适用于本细则。</w:t>
      </w:r>
    </w:p>
    <w:p w14:paraId="3BDBA4E2">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7C5EA9F8">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13CEBCDB">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GB 4806.7-2023食品安全国家标准 食品接触用塑料材料及制品</w:t>
      </w:r>
    </w:p>
    <w:p w14:paraId="3F022DF8">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现行有效的企业标准、团体标准、地方标准及产品明示质量要求</w:t>
      </w:r>
      <w:r>
        <w:rPr>
          <w:rFonts w:hint="default" w:ascii="Times New Roman" w:hAnsi="Times New Roman" w:eastAsia="仿宋_GB2312" w:cs="Times New Roman"/>
          <w:color w:val="000000"/>
          <w:sz w:val="32"/>
          <w:szCs w:val="32"/>
          <w:lang w:eastAsia="zh-CN"/>
        </w:rPr>
        <w:t>。</w:t>
      </w:r>
    </w:p>
    <w:p w14:paraId="63144CD6">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101570EF">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1A68A903">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50805AF9">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040AB90F">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0AA44F35">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2BF17468">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7DA661-8817-49FD-9394-0898FA1DEC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A8094B18-D04C-414E-9C99-B9B0B158EF61}"/>
  </w:font>
  <w:font w:name="楷体_GB2312">
    <w:panose1 w:val="02010609030101010101"/>
    <w:charset w:val="86"/>
    <w:family w:val="auto"/>
    <w:pitch w:val="default"/>
    <w:sig w:usb0="00000001" w:usb1="080E0000" w:usb2="00000000" w:usb3="00000000" w:csb0="00040000" w:csb1="00000000"/>
    <w:embedRegular r:id="rId3" w:fontKey="{27E36AC4-E69D-4232-B515-8B44C30281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46A1EF1"/>
    <w:rsid w:val="0A204954"/>
    <w:rsid w:val="0B783FE8"/>
    <w:rsid w:val="14F25809"/>
    <w:rsid w:val="180E4E56"/>
    <w:rsid w:val="1BF40545"/>
    <w:rsid w:val="1D9C59B9"/>
    <w:rsid w:val="1EA57152"/>
    <w:rsid w:val="1F487732"/>
    <w:rsid w:val="242D5BE6"/>
    <w:rsid w:val="2B2427C4"/>
    <w:rsid w:val="370C175D"/>
    <w:rsid w:val="384E2523"/>
    <w:rsid w:val="3B000F9D"/>
    <w:rsid w:val="4E994B9F"/>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796</Words>
  <Characters>900</Characters>
  <Lines>0</Lines>
  <Paragraphs>0</Paragraphs>
  <TotalTime>2</TotalTime>
  <ScaleCrop>false</ScaleCrop>
  <LinksUpToDate>false</LinksUpToDate>
  <CharactersWithSpaces>913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