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C1B4A">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b w:val="0"/>
          <w:bCs w:val="0"/>
          <w:color w:val="000000"/>
          <w:sz w:val="44"/>
          <w:szCs w:val="44"/>
          <w:lang w:eastAsia="zh-CN"/>
        </w:rPr>
      </w:pPr>
      <w:bookmarkStart w:id="0" w:name="_GoBack"/>
      <w:r>
        <w:rPr>
          <w:rFonts w:hint="default" w:ascii="Times New Roman" w:hAnsi="Times New Roman" w:eastAsia="方正小标宋简体" w:cs="Times New Roman"/>
          <w:b w:val="0"/>
          <w:bCs w:val="0"/>
          <w:color w:val="000000"/>
          <w:sz w:val="44"/>
          <w:szCs w:val="44"/>
          <w:lang w:val="en-US" w:eastAsia="zh-CN"/>
        </w:rPr>
        <w:t>餐</w:t>
      </w:r>
      <w:r>
        <w:rPr>
          <w:rFonts w:hint="default" w:ascii="Times New Roman" w:hAnsi="Times New Roman" w:eastAsia="方正小标宋简体" w:cs="Times New Roman"/>
          <w:b w:val="0"/>
          <w:bCs w:val="0"/>
          <w:color w:val="000000"/>
          <w:sz w:val="44"/>
          <w:szCs w:val="44"/>
          <w:lang w:val="en-US" w:eastAsia="zh-CN"/>
        </w:rPr>
        <w:t>具用洗涤剂产品质量监督抽查实施细则（2026版）</w:t>
      </w:r>
    </w:p>
    <w:p w14:paraId="13BD6BD9">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color w:val="000000"/>
          <w:sz w:val="32"/>
          <w:szCs w:val="32"/>
        </w:rPr>
      </w:pPr>
    </w:p>
    <w:p w14:paraId="5FEC61A6">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3E07B74A">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6F326DE4">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7799F777">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rPr>
        <w:t>每批次产品抽取样品</w:t>
      </w:r>
      <w:r>
        <w:rPr>
          <w:rFonts w:hint="default" w:ascii="Times New Roman" w:hAnsi="Times New Roman" w:eastAsia="仿宋_GB2312" w:cs="Times New Roman"/>
          <w:color w:val="auto"/>
          <w:sz w:val="32"/>
          <w:szCs w:val="32"/>
          <w:highlight w:val="none"/>
          <w:lang w:val="en-US" w:eastAsia="zh-CN"/>
        </w:rPr>
        <w:t>4个独立包装（总量不少于2L/2kg）</w:t>
      </w:r>
      <w:r>
        <w:rPr>
          <w:rFonts w:hint="default" w:ascii="Times New Roman" w:hAnsi="Times New Roman" w:eastAsia="仿宋_GB2312" w:cs="Times New Roman"/>
          <w:color w:val="auto"/>
          <w:sz w:val="32"/>
          <w:szCs w:val="32"/>
        </w:rPr>
        <w:t>，其中</w:t>
      </w:r>
      <w:r>
        <w:rPr>
          <w:rFonts w:hint="default" w:ascii="Times New Roman" w:hAnsi="Times New Roman" w:eastAsia="仿宋_GB2312" w:cs="Times New Roman"/>
          <w:color w:val="auto"/>
          <w:sz w:val="32"/>
          <w:szCs w:val="32"/>
          <w:highlight w:val="none"/>
          <w:lang w:val="en-US" w:eastAsia="zh-CN"/>
        </w:rPr>
        <w:t>2个独立包装（不少于1L/1kg）</w:t>
      </w:r>
      <w:r>
        <w:rPr>
          <w:rFonts w:hint="default" w:ascii="Times New Roman" w:hAnsi="Times New Roman" w:eastAsia="仿宋_GB2312" w:cs="Times New Roman"/>
          <w:color w:val="auto"/>
          <w:sz w:val="32"/>
          <w:szCs w:val="32"/>
        </w:rPr>
        <w:t>作为检验</w:t>
      </w:r>
      <w:r>
        <w:rPr>
          <w:rFonts w:hint="default" w:ascii="Times New Roman" w:hAnsi="Times New Roman" w:eastAsia="仿宋_GB2312" w:cs="Times New Roman"/>
          <w:color w:val="auto"/>
          <w:sz w:val="32"/>
          <w:szCs w:val="32"/>
          <w:highlight w:val="none"/>
        </w:rPr>
        <w:t>样品，</w:t>
      </w:r>
      <w:r>
        <w:rPr>
          <w:rFonts w:hint="default" w:ascii="Times New Roman" w:hAnsi="Times New Roman" w:eastAsia="仿宋_GB2312" w:cs="Times New Roman"/>
          <w:color w:val="auto"/>
          <w:sz w:val="32"/>
          <w:szCs w:val="32"/>
          <w:highlight w:val="none"/>
          <w:lang w:val="en-US" w:eastAsia="zh-CN"/>
        </w:rPr>
        <w:t>2个独立包装（不少于1L/1kg）</w:t>
      </w:r>
      <w:r>
        <w:rPr>
          <w:rFonts w:hint="default" w:ascii="Times New Roman" w:hAnsi="Times New Roman" w:eastAsia="仿宋_GB2312" w:cs="Times New Roman"/>
          <w:color w:val="auto"/>
          <w:sz w:val="32"/>
          <w:szCs w:val="32"/>
          <w:highlight w:val="none"/>
        </w:rPr>
        <w:t>作为备用样品。</w:t>
      </w:r>
    </w:p>
    <w:p w14:paraId="1C503EFC">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43670CFD">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 xml:space="preserve">表1 </w:t>
      </w:r>
      <w:r>
        <w:rPr>
          <w:rFonts w:hint="default" w:ascii="Times New Roman" w:hAnsi="Times New Roman" w:eastAsia="楷体_GB2312" w:cs="Times New Roman"/>
          <w:i w:val="0"/>
          <w:iCs w:val="0"/>
          <w:color w:val="auto"/>
          <w:kern w:val="0"/>
          <w:sz w:val="32"/>
          <w:szCs w:val="32"/>
          <w:u w:val="none"/>
          <w:lang w:val="en-US" w:eastAsia="zh-CN" w:bidi="ar"/>
        </w:rPr>
        <w:t>手洗餐具用洗涤剂</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2954"/>
        <w:gridCol w:w="2566"/>
      </w:tblGrid>
      <w:tr w14:paraId="745D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0" w:type="auto"/>
            <w:noWrap w:val="0"/>
            <w:vAlign w:val="center"/>
          </w:tcPr>
          <w:p w14:paraId="3D967318">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序号</w:t>
            </w:r>
          </w:p>
        </w:tc>
        <w:tc>
          <w:tcPr>
            <w:tcW w:w="0" w:type="auto"/>
            <w:noWrap w:val="0"/>
            <w:vAlign w:val="center"/>
          </w:tcPr>
          <w:p w14:paraId="574FB137">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检验项目</w:t>
            </w:r>
          </w:p>
        </w:tc>
        <w:tc>
          <w:tcPr>
            <w:tcW w:w="0" w:type="auto"/>
            <w:noWrap w:val="0"/>
            <w:vAlign w:val="center"/>
          </w:tcPr>
          <w:p w14:paraId="4118C654">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检验方法</w:t>
            </w:r>
          </w:p>
        </w:tc>
      </w:tr>
      <w:tr w14:paraId="044C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6E32E84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i w:val="0"/>
                <w:iCs w:val="0"/>
                <w:color w:val="auto"/>
                <w:kern w:val="0"/>
                <w:sz w:val="32"/>
                <w:szCs w:val="32"/>
                <w:highlight w:val="none"/>
                <w:u w:val="none"/>
                <w:lang w:val="en-US" w:eastAsia="zh-CN" w:bidi="ar"/>
              </w:rPr>
              <w:t>1</w:t>
            </w:r>
          </w:p>
        </w:tc>
        <w:tc>
          <w:tcPr>
            <w:tcW w:w="0" w:type="auto"/>
            <w:shd w:val="clear" w:color="auto" w:fill="auto"/>
            <w:noWrap w:val="0"/>
            <w:vAlign w:val="center"/>
          </w:tcPr>
          <w:p w14:paraId="62DC00A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2"/>
                <w:sz w:val="32"/>
                <w:szCs w:val="32"/>
                <w:u w:val="none"/>
                <w:lang w:val="en-US" w:eastAsia="zh-CN" w:bidi="ar-SA"/>
              </w:rPr>
            </w:pPr>
            <w:r>
              <w:rPr>
                <w:rFonts w:hint="default" w:ascii="Times New Roman" w:hAnsi="Times New Roman" w:eastAsia="宋体" w:cs="Times New Roman"/>
                <w:i w:val="0"/>
                <w:iCs w:val="0"/>
                <w:color w:val="auto"/>
                <w:kern w:val="0"/>
                <w:sz w:val="32"/>
                <w:szCs w:val="32"/>
                <w:u w:val="none"/>
                <w:lang w:val="en-US" w:eastAsia="zh-CN" w:bidi="ar"/>
              </w:rPr>
              <w:t>外观</w:t>
            </w:r>
          </w:p>
        </w:tc>
        <w:tc>
          <w:tcPr>
            <w:tcW w:w="0" w:type="auto"/>
            <w:noWrap w:val="0"/>
            <w:vAlign w:val="center"/>
          </w:tcPr>
          <w:p w14:paraId="57D6894E">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GB/T 13173-2021</w:t>
            </w:r>
          </w:p>
        </w:tc>
      </w:tr>
      <w:tr w14:paraId="631F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0F53621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i w:val="0"/>
                <w:iCs w:val="0"/>
                <w:color w:val="auto"/>
                <w:kern w:val="0"/>
                <w:sz w:val="32"/>
                <w:szCs w:val="32"/>
                <w:highlight w:val="none"/>
                <w:u w:val="none"/>
                <w:lang w:val="en-US" w:eastAsia="zh-CN" w:bidi="ar"/>
              </w:rPr>
              <w:t>2</w:t>
            </w:r>
          </w:p>
        </w:tc>
        <w:tc>
          <w:tcPr>
            <w:tcW w:w="0" w:type="auto"/>
            <w:shd w:val="clear" w:color="auto" w:fill="auto"/>
            <w:noWrap w:val="0"/>
            <w:vAlign w:val="center"/>
          </w:tcPr>
          <w:p w14:paraId="56A7DC5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2"/>
                <w:sz w:val="32"/>
                <w:szCs w:val="32"/>
                <w:u w:val="none"/>
                <w:lang w:val="en-US" w:eastAsia="zh-CN" w:bidi="ar-SA"/>
              </w:rPr>
            </w:pPr>
            <w:r>
              <w:rPr>
                <w:rFonts w:hint="default" w:ascii="Times New Roman" w:hAnsi="Times New Roman" w:eastAsia="宋体" w:cs="Times New Roman"/>
                <w:i w:val="0"/>
                <w:iCs w:val="0"/>
                <w:color w:val="auto"/>
                <w:kern w:val="0"/>
                <w:sz w:val="32"/>
                <w:szCs w:val="32"/>
                <w:u w:val="none"/>
                <w:lang w:val="en-US" w:eastAsia="zh-CN" w:bidi="ar"/>
              </w:rPr>
              <w:t>气味</w:t>
            </w:r>
          </w:p>
        </w:tc>
        <w:tc>
          <w:tcPr>
            <w:tcW w:w="0" w:type="auto"/>
            <w:noWrap w:val="0"/>
            <w:vAlign w:val="center"/>
          </w:tcPr>
          <w:p w14:paraId="73D88EE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GB/T 13173-2021</w:t>
            </w:r>
          </w:p>
        </w:tc>
      </w:tr>
      <w:tr w14:paraId="091C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4928CDF4">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lang w:val="en-US" w:eastAsia="zh-CN"/>
              </w:rPr>
            </w:pPr>
            <w:r>
              <w:rPr>
                <w:rFonts w:hint="default" w:ascii="Times New Roman" w:hAnsi="Times New Roman" w:eastAsia="宋体" w:cs="Times New Roman"/>
                <w:i w:val="0"/>
                <w:iCs w:val="0"/>
                <w:color w:val="auto"/>
                <w:kern w:val="0"/>
                <w:sz w:val="32"/>
                <w:szCs w:val="32"/>
                <w:u w:val="none"/>
                <w:lang w:val="en-US" w:eastAsia="zh-CN" w:bidi="ar"/>
              </w:rPr>
              <w:t>3</w:t>
            </w:r>
          </w:p>
        </w:tc>
        <w:tc>
          <w:tcPr>
            <w:tcW w:w="0" w:type="auto"/>
            <w:shd w:val="clear" w:color="auto" w:fill="auto"/>
            <w:noWrap w:val="0"/>
            <w:vAlign w:val="center"/>
          </w:tcPr>
          <w:p w14:paraId="0441E56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2"/>
                <w:sz w:val="32"/>
                <w:szCs w:val="32"/>
                <w:u w:val="none"/>
                <w:lang w:val="en-US" w:eastAsia="zh-CN" w:bidi="ar-SA"/>
              </w:rPr>
            </w:pPr>
            <w:r>
              <w:rPr>
                <w:rFonts w:hint="default" w:ascii="Times New Roman" w:hAnsi="Times New Roman" w:eastAsia="宋体" w:cs="Times New Roman"/>
                <w:i w:val="0"/>
                <w:iCs w:val="0"/>
                <w:color w:val="auto"/>
                <w:kern w:val="0"/>
                <w:sz w:val="32"/>
                <w:szCs w:val="32"/>
                <w:u w:val="none"/>
                <w:lang w:val="en-US" w:eastAsia="zh-CN" w:bidi="ar"/>
              </w:rPr>
              <w:t>稳定性</w:t>
            </w:r>
          </w:p>
        </w:tc>
        <w:tc>
          <w:tcPr>
            <w:tcW w:w="0" w:type="auto"/>
            <w:noWrap w:val="0"/>
            <w:vAlign w:val="center"/>
          </w:tcPr>
          <w:p w14:paraId="30C9D26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highlight w:val="none"/>
              </w:rPr>
              <w:t>GB/T 13173-2021</w:t>
            </w:r>
          </w:p>
        </w:tc>
      </w:tr>
      <w:tr w14:paraId="5320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7BBC15D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lang w:val="en-US" w:eastAsia="zh-CN"/>
              </w:rPr>
            </w:pPr>
            <w:r>
              <w:rPr>
                <w:rFonts w:hint="default" w:ascii="Times New Roman" w:hAnsi="Times New Roman" w:eastAsia="宋体" w:cs="Times New Roman"/>
                <w:i w:val="0"/>
                <w:iCs w:val="0"/>
                <w:color w:val="auto"/>
                <w:kern w:val="0"/>
                <w:sz w:val="32"/>
                <w:szCs w:val="32"/>
                <w:u w:val="none"/>
                <w:lang w:val="en-US" w:eastAsia="zh-CN" w:bidi="ar"/>
              </w:rPr>
              <w:t>4</w:t>
            </w:r>
          </w:p>
        </w:tc>
        <w:tc>
          <w:tcPr>
            <w:tcW w:w="0" w:type="auto"/>
            <w:shd w:val="clear" w:color="auto" w:fill="auto"/>
            <w:noWrap w:val="0"/>
            <w:vAlign w:val="center"/>
          </w:tcPr>
          <w:p w14:paraId="36D4B84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2"/>
                <w:sz w:val="32"/>
                <w:szCs w:val="32"/>
                <w:u w:val="none"/>
                <w:lang w:val="en-US" w:eastAsia="zh-CN" w:bidi="ar-SA"/>
              </w:rPr>
            </w:pPr>
            <w:r>
              <w:rPr>
                <w:rFonts w:hint="default" w:ascii="Times New Roman" w:hAnsi="Times New Roman" w:eastAsia="宋体" w:cs="Times New Roman"/>
                <w:i w:val="0"/>
                <w:iCs w:val="0"/>
                <w:color w:val="auto"/>
                <w:kern w:val="0"/>
                <w:sz w:val="32"/>
                <w:szCs w:val="32"/>
                <w:u w:val="none"/>
                <w:lang w:val="en-US" w:eastAsia="zh-CN" w:bidi="ar"/>
              </w:rPr>
              <w:t>总有效物含量</w:t>
            </w:r>
          </w:p>
        </w:tc>
        <w:tc>
          <w:tcPr>
            <w:tcW w:w="0" w:type="auto"/>
            <w:noWrap w:val="0"/>
            <w:vAlign w:val="center"/>
          </w:tcPr>
          <w:p w14:paraId="786E6BC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highlight w:val="none"/>
                <w:lang w:val="en-US" w:eastAsia="zh-CN"/>
              </w:rPr>
              <w:t>GB/T 13173-2021</w:t>
            </w:r>
          </w:p>
        </w:tc>
      </w:tr>
      <w:tr w14:paraId="0850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01DED624">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lang w:val="en-US" w:eastAsia="zh-CN"/>
              </w:rPr>
            </w:pPr>
            <w:r>
              <w:rPr>
                <w:rFonts w:hint="default" w:ascii="Times New Roman" w:hAnsi="Times New Roman" w:eastAsia="宋体" w:cs="Times New Roman"/>
                <w:i w:val="0"/>
                <w:iCs w:val="0"/>
                <w:color w:val="auto"/>
                <w:kern w:val="0"/>
                <w:sz w:val="32"/>
                <w:szCs w:val="32"/>
                <w:u w:val="none"/>
                <w:lang w:val="en-US" w:eastAsia="zh-CN" w:bidi="ar"/>
              </w:rPr>
              <w:t>5</w:t>
            </w:r>
          </w:p>
        </w:tc>
        <w:tc>
          <w:tcPr>
            <w:tcW w:w="0" w:type="auto"/>
            <w:shd w:val="clear" w:color="auto" w:fill="auto"/>
            <w:noWrap w:val="0"/>
            <w:vAlign w:val="center"/>
          </w:tcPr>
          <w:p w14:paraId="1F0BC5E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2"/>
                <w:sz w:val="32"/>
                <w:szCs w:val="32"/>
                <w:u w:val="none"/>
                <w:lang w:val="en-US" w:eastAsia="zh-CN" w:bidi="ar-SA"/>
              </w:rPr>
            </w:pPr>
            <w:r>
              <w:rPr>
                <w:rFonts w:hint="default" w:ascii="Times New Roman" w:hAnsi="Times New Roman" w:eastAsia="宋体" w:cs="Times New Roman"/>
                <w:i w:val="0"/>
                <w:iCs w:val="0"/>
                <w:color w:val="auto"/>
                <w:kern w:val="0"/>
                <w:sz w:val="32"/>
                <w:szCs w:val="32"/>
                <w:u w:val="none"/>
                <w:lang w:val="en-US" w:eastAsia="zh-CN" w:bidi="ar"/>
              </w:rPr>
              <w:t>pH</w:t>
            </w:r>
          </w:p>
        </w:tc>
        <w:tc>
          <w:tcPr>
            <w:tcW w:w="0" w:type="auto"/>
            <w:noWrap w:val="0"/>
            <w:vAlign w:val="center"/>
          </w:tcPr>
          <w:p w14:paraId="407BD1F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highlight w:val="none"/>
                <w:lang w:val="en-US" w:eastAsia="zh-CN"/>
              </w:rPr>
              <w:t>GB/T 6368-2008</w:t>
            </w:r>
          </w:p>
        </w:tc>
      </w:tr>
      <w:tr w14:paraId="095A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3AEDBA44">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lang w:val="en-US" w:eastAsia="zh-CN"/>
              </w:rPr>
            </w:pPr>
            <w:r>
              <w:rPr>
                <w:rFonts w:hint="default" w:ascii="Times New Roman" w:hAnsi="Times New Roman" w:eastAsia="宋体" w:cs="Times New Roman"/>
                <w:i w:val="0"/>
                <w:iCs w:val="0"/>
                <w:color w:val="auto"/>
                <w:kern w:val="0"/>
                <w:sz w:val="32"/>
                <w:szCs w:val="32"/>
                <w:u w:val="none"/>
                <w:lang w:val="en-US" w:eastAsia="zh-CN" w:bidi="ar"/>
              </w:rPr>
              <w:t>6</w:t>
            </w:r>
          </w:p>
        </w:tc>
        <w:tc>
          <w:tcPr>
            <w:tcW w:w="0" w:type="auto"/>
            <w:shd w:val="clear" w:color="auto" w:fill="auto"/>
            <w:noWrap w:val="0"/>
            <w:vAlign w:val="center"/>
          </w:tcPr>
          <w:p w14:paraId="43D4C73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2"/>
                <w:sz w:val="32"/>
                <w:szCs w:val="32"/>
                <w:u w:val="none"/>
                <w:lang w:val="en-US" w:eastAsia="zh-CN" w:bidi="ar-SA"/>
              </w:rPr>
            </w:pPr>
            <w:r>
              <w:rPr>
                <w:rFonts w:hint="default" w:ascii="Times New Roman" w:hAnsi="Times New Roman" w:eastAsia="宋体" w:cs="Times New Roman"/>
                <w:i w:val="0"/>
                <w:iCs w:val="0"/>
                <w:color w:val="auto"/>
                <w:kern w:val="0"/>
                <w:sz w:val="32"/>
                <w:szCs w:val="32"/>
                <w:u w:val="none"/>
                <w:lang w:val="en-US" w:eastAsia="zh-CN" w:bidi="ar"/>
              </w:rPr>
              <w:t>重金属（以Pb计）</w:t>
            </w:r>
          </w:p>
        </w:tc>
        <w:tc>
          <w:tcPr>
            <w:tcW w:w="0" w:type="auto"/>
            <w:noWrap w:val="0"/>
            <w:vAlign w:val="center"/>
          </w:tcPr>
          <w:p w14:paraId="0549712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highlight w:val="none"/>
                <w:lang w:val="en-US" w:eastAsia="zh-CN"/>
              </w:rPr>
              <w:t>GB/T 30799-2014</w:t>
            </w:r>
          </w:p>
        </w:tc>
      </w:tr>
      <w:tr w14:paraId="2A15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43723F6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0"/>
                <w:sz w:val="32"/>
                <w:szCs w:val="32"/>
                <w:u w:val="none"/>
                <w:lang w:val="en-US" w:eastAsia="zh-CN" w:bidi="ar"/>
              </w:rPr>
            </w:pPr>
            <w:r>
              <w:rPr>
                <w:rFonts w:hint="default" w:ascii="Times New Roman" w:hAnsi="Times New Roman" w:cs="Times New Roman"/>
                <w:i w:val="0"/>
                <w:iCs w:val="0"/>
                <w:color w:val="auto"/>
                <w:kern w:val="0"/>
                <w:sz w:val="32"/>
                <w:szCs w:val="32"/>
                <w:u w:val="none"/>
                <w:lang w:val="en-US" w:eastAsia="zh-CN" w:bidi="ar"/>
              </w:rPr>
              <w:t>7</w:t>
            </w:r>
          </w:p>
        </w:tc>
        <w:tc>
          <w:tcPr>
            <w:tcW w:w="0" w:type="auto"/>
            <w:shd w:val="clear" w:color="auto" w:fill="auto"/>
            <w:noWrap w:val="0"/>
            <w:vAlign w:val="center"/>
          </w:tcPr>
          <w:p w14:paraId="724DC70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2"/>
                <w:sz w:val="32"/>
                <w:szCs w:val="32"/>
                <w:u w:val="none"/>
                <w:lang w:val="en-US" w:eastAsia="zh-CN" w:bidi="ar-SA"/>
              </w:rPr>
            </w:pPr>
            <w:r>
              <w:rPr>
                <w:rFonts w:hint="default" w:ascii="Times New Roman" w:hAnsi="Times New Roman" w:eastAsia="宋体" w:cs="Times New Roman"/>
                <w:i w:val="0"/>
                <w:iCs w:val="0"/>
                <w:color w:val="auto"/>
                <w:kern w:val="0"/>
                <w:sz w:val="32"/>
                <w:szCs w:val="32"/>
                <w:u w:val="none"/>
                <w:lang w:val="en-US" w:eastAsia="zh-CN" w:bidi="ar"/>
              </w:rPr>
              <w:t>大肠菌群</w:t>
            </w:r>
          </w:p>
        </w:tc>
        <w:tc>
          <w:tcPr>
            <w:tcW w:w="0" w:type="auto"/>
            <w:noWrap w:val="0"/>
            <w:vAlign w:val="center"/>
          </w:tcPr>
          <w:p w14:paraId="6EB9AF3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0"/>
                <w:sz w:val="32"/>
                <w:szCs w:val="32"/>
                <w:u w:val="none"/>
                <w:lang w:val="en-US" w:eastAsia="zh-CN" w:bidi="ar"/>
              </w:rPr>
            </w:pPr>
            <w:r>
              <w:rPr>
                <w:rFonts w:hint="default" w:ascii="Times New Roman" w:hAnsi="Times New Roman" w:eastAsia="宋体" w:cs="Times New Roman"/>
                <w:i w:val="0"/>
                <w:iCs w:val="0"/>
                <w:color w:val="auto"/>
                <w:kern w:val="0"/>
                <w:sz w:val="32"/>
                <w:szCs w:val="32"/>
                <w:u w:val="none"/>
                <w:lang w:val="en-US" w:eastAsia="zh-CN" w:bidi="ar"/>
              </w:rPr>
              <w:t>GB 4789.3-2016</w:t>
            </w:r>
          </w:p>
        </w:tc>
      </w:tr>
      <w:tr w14:paraId="4981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noWrap w:val="0"/>
            <w:vAlign w:val="center"/>
          </w:tcPr>
          <w:p w14:paraId="38B4F05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cs="Times New Roman"/>
                <w:i w:val="0"/>
                <w:iCs w:val="0"/>
                <w:color w:val="auto"/>
                <w:kern w:val="0"/>
                <w:sz w:val="32"/>
                <w:szCs w:val="32"/>
                <w:u w:val="none"/>
                <w:lang w:val="en-US" w:eastAsia="zh-CN" w:bidi="ar"/>
              </w:rPr>
            </w:pPr>
            <w:r>
              <w:rPr>
                <w:rFonts w:hint="default" w:ascii="Times New Roman" w:hAnsi="Times New Roman" w:cs="Times New Roman"/>
                <w:i w:val="0"/>
                <w:iCs w:val="0"/>
                <w:color w:val="auto"/>
                <w:kern w:val="0"/>
                <w:sz w:val="32"/>
                <w:szCs w:val="32"/>
                <w:u w:val="none"/>
                <w:lang w:val="en-US" w:eastAsia="zh-CN" w:bidi="ar"/>
              </w:rPr>
              <w:t>8</w:t>
            </w:r>
          </w:p>
        </w:tc>
        <w:tc>
          <w:tcPr>
            <w:tcW w:w="0" w:type="auto"/>
            <w:shd w:val="clear" w:color="auto" w:fill="auto"/>
            <w:noWrap w:val="0"/>
            <w:vAlign w:val="center"/>
          </w:tcPr>
          <w:p w14:paraId="0B6A643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2"/>
                <w:sz w:val="32"/>
                <w:szCs w:val="32"/>
                <w:u w:val="none"/>
                <w:lang w:val="en-US" w:eastAsia="zh-CN" w:bidi="ar-SA"/>
              </w:rPr>
            </w:pPr>
            <w:r>
              <w:rPr>
                <w:rFonts w:hint="default" w:ascii="Times New Roman" w:hAnsi="Times New Roman" w:eastAsia="宋体" w:cs="Times New Roman"/>
                <w:i w:val="0"/>
                <w:iCs w:val="0"/>
                <w:color w:val="auto"/>
                <w:kern w:val="0"/>
                <w:sz w:val="32"/>
                <w:szCs w:val="32"/>
                <w:u w:val="none"/>
                <w:lang w:val="en-US" w:eastAsia="zh-CN" w:bidi="ar"/>
              </w:rPr>
              <w:t>菌落总数</w:t>
            </w:r>
          </w:p>
        </w:tc>
        <w:tc>
          <w:tcPr>
            <w:tcW w:w="0" w:type="auto"/>
            <w:noWrap w:val="0"/>
            <w:vAlign w:val="center"/>
          </w:tcPr>
          <w:p w14:paraId="0334B30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宋体" w:cs="Times New Roman"/>
                <w:i w:val="0"/>
                <w:iCs w:val="0"/>
                <w:color w:val="auto"/>
                <w:kern w:val="0"/>
                <w:sz w:val="32"/>
                <w:szCs w:val="32"/>
                <w:u w:val="none"/>
                <w:lang w:val="en-US" w:eastAsia="zh-CN" w:bidi="ar"/>
              </w:rPr>
            </w:pPr>
            <w:r>
              <w:rPr>
                <w:rFonts w:hint="default" w:ascii="Times New Roman" w:hAnsi="Times New Roman" w:eastAsia="宋体" w:cs="Times New Roman"/>
                <w:i w:val="0"/>
                <w:iCs w:val="0"/>
                <w:color w:val="auto"/>
                <w:kern w:val="0"/>
                <w:sz w:val="32"/>
                <w:szCs w:val="32"/>
                <w:u w:val="none"/>
                <w:lang w:val="en-US" w:eastAsia="zh-CN" w:bidi="ar"/>
              </w:rPr>
              <w:t>GB 4789.2-2022</w:t>
            </w:r>
          </w:p>
        </w:tc>
      </w:tr>
    </w:tbl>
    <w:p w14:paraId="4B925C7B">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执行企业标准、团体标准、地方标准的产品，检验项目参照上述内容执行。</w:t>
      </w:r>
    </w:p>
    <w:p w14:paraId="47F971F9">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凡是注日期的文件，其随后所有的修改单（不包括勘误的内容）或修订版不适用于本细则。凡是不注日期的文件，其最新版本适用于本细则。</w:t>
      </w:r>
    </w:p>
    <w:p w14:paraId="3C0A6F54">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665A6400">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3.1依据标准</w:t>
      </w:r>
    </w:p>
    <w:p w14:paraId="323B7C91">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i w:val="0"/>
          <w:iCs w:val="0"/>
          <w:color w:val="auto"/>
          <w:kern w:val="0"/>
          <w:sz w:val="32"/>
          <w:szCs w:val="32"/>
          <w:u w:val="none"/>
          <w:lang w:val="en-US" w:eastAsia="zh-CN" w:bidi="ar"/>
        </w:rPr>
      </w:pPr>
      <w:r>
        <w:rPr>
          <w:rFonts w:hint="default" w:ascii="Times New Roman" w:hAnsi="Times New Roman" w:eastAsia="仿宋_GB2312" w:cs="Times New Roman"/>
          <w:i w:val="0"/>
          <w:iCs w:val="0"/>
          <w:color w:val="auto"/>
          <w:kern w:val="0"/>
          <w:sz w:val="32"/>
          <w:szCs w:val="32"/>
          <w:u w:val="none"/>
          <w:lang w:val="en-US" w:eastAsia="zh-CN" w:bidi="ar"/>
        </w:rPr>
        <w:t>GB 14930.1-2022食品安全国家标准 洗涤剂</w:t>
      </w:r>
    </w:p>
    <w:p w14:paraId="74012654">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i w:val="0"/>
          <w:iCs w:val="0"/>
          <w:color w:val="auto"/>
          <w:kern w:val="0"/>
          <w:sz w:val="32"/>
          <w:szCs w:val="32"/>
          <w:u w:val="none"/>
          <w:lang w:val="en-US" w:eastAsia="zh-CN" w:bidi="ar"/>
        </w:rPr>
        <w:t>GB/T 9985-2022手洗餐具用洗涤剂</w:t>
      </w:r>
    </w:p>
    <w:p w14:paraId="74995E0A">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现行有效的企业标准、团体标准、地方标准及产品明示质量要求</w:t>
      </w:r>
      <w:r>
        <w:rPr>
          <w:rFonts w:hint="default" w:ascii="Times New Roman" w:hAnsi="Times New Roman" w:eastAsia="仿宋_GB2312" w:cs="Times New Roman"/>
          <w:color w:val="auto"/>
          <w:sz w:val="32"/>
          <w:szCs w:val="32"/>
          <w:lang w:eastAsia="zh-CN"/>
        </w:rPr>
        <w:t>。</w:t>
      </w:r>
    </w:p>
    <w:p w14:paraId="37571877">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3.2判定原则</w:t>
      </w:r>
    </w:p>
    <w:p w14:paraId="78B02F89">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经检验，检验项目全部合格，判定为被抽查产品所检项目未发现不合格；检验项目中任一项或一项以上不合格，判定为被抽查产品不合格。</w:t>
      </w:r>
    </w:p>
    <w:p w14:paraId="209C77E1">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若被检产品明示的质量要求高于本细则中检验项目依据的标准要求时，应按被检产品明示的质量要求判定。</w:t>
      </w:r>
    </w:p>
    <w:p w14:paraId="7113E219">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若被检产品明示的质量要求低于本细则中检验项目依据的强制性标准要求时，应按照强制性标准要求判定。</w:t>
      </w:r>
    </w:p>
    <w:p w14:paraId="02F2929B">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若被检产品明示的质量要求低于或包含本细则中检验项目依据的推荐性标准要求时，应以被检产品明示的质量要求判定。</w:t>
      </w:r>
    </w:p>
    <w:p w14:paraId="0E81EF0D">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若被检产品明示的质量要求缺少本细则中检验项目依据的强制性标准要求时，应按照强制性标准要求判定。</w:t>
      </w:r>
    </w:p>
    <w:p w14:paraId="6B928FA1">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若被检产品明示的质量要求缺少本细则中检验项目依据的推荐性标准要求时，该项目不参与判定。</w:t>
      </w:r>
    </w:p>
    <w:p w14:paraId="43A84287">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auto"/>
          <w:sz w:val="32"/>
          <w:szCs w:val="32"/>
        </w:rPr>
        <w:t>依据GB 4789.1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2016 《食品安全国家标准食品微生物学检验总则》第7.3条规定“检验结果报告后，剩余样品和同批产品不进行微生物项目的复检”，微生物指标不合格不进行复检</w:t>
      </w:r>
      <w:r>
        <w:rPr>
          <w:rFonts w:hint="default" w:ascii="Times New Roman" w:hAnsi="Times New Roman" w:eastAsia="仿宋_GB2312" w:cs="Times New Roman"/>
          <w:color w:val="auto"/>
          <w:sz w:val="32"/>
          <w:szCs w:val="32"/>
          <w:lang w:eastAsia="zh-CN"/>
        </w:rPr>
        <w:t>。</w:t>
      </w:r>
    </w:p>
    <w:bookmarkEnd w:id="0"/>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30932F-2974-4D66-811B-BC5ECC7A24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2" w:fontKey="{95FB927F-5CB5-415E-95EC-B12053BA829E}"/>
  </w:font>
  <w:font w:name="楷体_GB2312">
    <w:panose1 w:val="02010609030101010101"/>
    <w:charset w:val="86"/>
    <w:family w:val="auto"/>
    <w:pitch w:val="default"/>
    <w:sig w:usb0="00000001" w:usb1="080E0000" w:usb2="00000000" w:usb3="00000000" w:csb0="00040000" w:csb1="00000000"/>
    <w:embedRegular r:id="rId3" w:fontKey="{CA2AE065-AFF3-4B3D-A04E-52F0107110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0CE">
    <w:pPr>
      <w:pStyle w:val="3"/>
      <w:jc w:val="center"/>
    </w:pPr>
    <w:r>
      <w:rPr>
        <w:lang w:val="zh-CN"/>
      </w:rPr>
      <w:fldChar w:fldCharType="begin"/>
    </w:r>
    <w:r>
      <w:rPr>
        <w:lang w:val="zh-CN"/>
      </w:rPr>
      <w:instrText xml:space="preserve"> PAGE   \* MERGEFORMAT </w:instrText>
    </w:r>
    <w:r>
      <w:rPr>
        <w:lang w:val="zh-CN"/>
      </w:rPr>
      <w:fldChar w:fldCharType="separate"/>
    </w:r>
    <w:r>
      <w:t>4</w:t>
    </w:r>
    <w:r>
      <w:rPr>
        <w:lang w:val="zh-CN"/>
      </w:rPr>
      <w:fldChar w:fldCharType="end"/>
    </w:r>
  </w:p>
  <w:p w14:paraId="0CDE1BB0">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715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MTY5ZWZkMWRiZTVmYTYzZTQ5MWFhZmRhZTBhMjEifQ=="/>
  </w:docVars>
  <w:rsids>
    <w:rsidRoot w:val="046A1EF1"/>
    <w:rsid w:val="046A1EF1"/>
    <w:rsid w:val="0A204954"/>
    <w:rsid w:val="0B783FE8"/>
    <w:rsid w:val="0C775F72"/>
    <w:rsid w:val="1BF40545"/>
    <w:rsid w:val="1EA57152"/>
    <w:rsid w:val="1F487732"/>
    <w:rsid w:val="242D5BE6"/>
    <w:rsid w:val="24C20D54"/>
    <w:rsid w:val="29C75164"/>
    <w:rsid w:val="2B2427C4"/>
    <w:rsid w:val="2D4851A0"/>
    <w:rsid w:val="374B4BD2"/>
    <w:rsid w:val="4E994B9F"/>
    <w:rsid w:val="533F3F25"/>
    <w:rsid w:val="5AFE3B8D"/>
    <w:rsid w:val="6F7B6F1E"/>
    <w:rsid w:val="76651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750</Words>
  <Characters>903</Characters>
  <Lines>0</Lines>
  <Paragraphs>0</Paragraphs>
  <TotalTime>1</TotalTime>
  <ScaleCrop>false</ScaleCrop>
  <LinksUpToDate>false</LinksUpToDate>
  <CharactersWithSpaces>920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2024-08-12T07:32:00Z</dcterms:created>
  <dc:creator>.</dc:creator>
  <cp:lastModifiedBy>一页旧城</cp:lastModifiedBy>
  <dcterms:modified xsi:type="dcterms:W3CDTF">2026-10-26T01:52:25Z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E912830DFBB947A79C9BD38B613E711A_11</vt:lpwstr>
  </property>
  <property fmtid="{D5CDD505-2E9C-101B-9397-08002B2CF9AE}" pid="4" name="KSOTemplateDocerSaveRecord">
    <vt:lpwstr>eyJoZGlkIjoiZjgyMDYxMTg5YWE2NjBiOGMwOTVlOThkNzEwZTUzMTMiLCJ1c2VySWQiOiIyNzIxMTM0ODcifQ==</vt:lpwstr>
  </property>
</Properties>
</file>