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808D2">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方正小标宋简体" w:cs="Times New Roman"/>
          <w:b w:val="0"/>
          <w:bCs w:val="0"/>
          <w:color w:val="000000"/>
          <w:sz w:val="44"/>
          <w:szCs w:val="44"/>
        </w:rPr>
      </w:pPr>
      <w:r>
        <w:rPr>
          <w:rFonts w:hint="default" w:ascii="Times New Roman" w:hAnsi="Times New Roman" w:eastAsia="方正小标宋简体" w:cs="Times New Roman"/>
          <w:b w:val="0"/>
          <w:bCs w:val="0"/>
          <w:color w:val="000000"/>
          <w:sz w:val="44"/>
          <w:szCs w:val="44"/>
          <w:lang w:val="en-US" w:eastAsia="zh-CN"/>
        </w:rPr>
        <w:t>巴彦淖尔市</w:t>
      </w:r>
      <w:r>
        <w:rPr>
          <w:rFonts w:hint="default" w:ascii="Times New Roman" w:hAnsi="Times New Roman" w:eastAsia="方正小标宋简体" w:cs="Times New Roman"/>
          <w:b w:val="0"/>
          <w:bCs w:val="0"/>
          <w:color w:val="000000"/>
          <w:sz w:val="44"/>
          <w:szCs w:val="44"/>
          <w:lang w:eastAsia="zh-CN"/>
        </w:rPr>
        <w:t>家用可燃气体探测器</w:t>
      </w:r>
      <w:r>
        <w:rPr>
          <w:rFonts w:hint="default" w:ascii="Times New Roman" w:hAnsi="Times New Roman" w:eastAsia="方正小标宋简体" w:cs="Times New Roman"/>
          <w:b w:val="0"/>
          <w:bCs w:val="0"/>
          <w:color w:val="000000"/>
          <w:sz w:val="44"/>
          <w:szCs w:val="44"/>
        </w:rPr>
        <w:t>产品质量监督抽查实施细则（2026年版）</w:t>
      </w:r>
    </w:p>
    <w:p w14:paraId="479F4AA6">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仿宋_GB2312" w:cs="Times New Roman"/>
          <w:b w:val="0"/>
          <w:bCs w:val="0"/>
          <w:color w:val="000000"/>
          <w:sz w:val="32"/>
          <w:szCs w:val="32"/>
        </w:rPr>
      </w:pPr>
    </w:p>
    <w:p w14:paraId="4750291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1 抽样方法</w:t>
      </w:r>
    </w:p>
    <w:p w14:paraId="22EDF66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以随机抽样的方式在被抽样生产者、销售者的待销产品中抽取。</w:t>
      </w:r>
      <w:bookmarkStart w:id="0" w:name="_GoBack"/>
      <w:bookmarkEnd w:id="0"/>
    </w:p>
    <w:p w14:paraId="2FDB9879">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随机数一般可使用随机数表等方法产生。</w:t>
      </w:r>
    </w:p>
    <w:p w14:paraId="0D624B2F">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每批次产品抽取样品</w:t>
      </w:r>
      <w:r>
        <w:rPr>
          <w:rFonts w:hint="default" w:ascii="Times New Roman" w:hAnsi="Times New Roman" w:eastAsia="仿宋_GB2312" w:cs="Times New Roman"/>
          <w:b w:val="0"/>
          <w:bCs w:val="0"/>
          <w:color w:val="000000"/>
          <w:sz w:val="32"/>
          <w:szCs w:val="32"/>
          <w:lang w:val="en-US" w:eastAsia="zh-CN"/>
        </w:rPr>
        <w:t>4台</w:t>
      </w:r>
      <w:r>
        <w:rPr>
          <w:rFonts w:hint="default" w:ascii="Times New Roman" w:hAnsi="Times New Roman" w:eastAsia="仿宋_GB2312" w:cs="Times New Roman"/>
          <w:b w:val="0"/>
          <w:bCs w:val="0"/>
          <w:color w:val="000000"/>
          <w:sz w:val="32"/>
          <w:szCs w:val="32"/>
        </w:rPr>
        <w:t>，其中</w:t>
      </w:r>
      <w:r>
        <w:rPr>
          <w:rFonts w:hint="default" w:ascii="Times New Roman" w:hAnsi="Times New Roman" w:eastAsia="仿宋_GB2312" w:cs="Times New Roman"/>
          <w:b w:val="0"/>
          <w:bCs w:val="0"/>
          <w:color w:val="000000"/>
          <w:sz w:val="32"/>
          <w:szCs w:val="32"/>
          <w:lang w:val="en-US" w:eastAsia="zh-CN"/>
        </w:rPr>
        <w:t>2台</w:t>
      </w:r>
      <w:r>
        <w:rPr>
          <w:rFonts w:hint="default" w:ascii="Times New Roman" w:hAnsi="Times New Roman" w:eastAsia="仿宋_GB2312" w:cs="Times New Roman"/>
          <w:b w:val="0"/>
          <w:bCs w:val="0"/>
          <w:color w:val="000000"/>
          <w:sz w:val="32"/>
          <w:szCs w:val="32"/>
        </w:rPr>
        <w:t>作为检验样品，</w:t>
      </w:r>
      <w:r>
        <w:rPr>
          <w:rFonts w:hint="default" w:ascii="Times New Roman" w:hAnsi="Times New Roman" w:eastAsia="仿宋_GB2312" w:cs="Times New Roman"/>
          <w:b w:val="0"/>
          <w:bCs w:val="0"/>
          <w:color w:val="000000"/>
          <w:sz w:val="32"/>
          <w:szCs w:val="32"/>
          <w:lang w:val="en-US" w:eastAsia="zh-CN"/>
        </w:rPr>
        <w:t>2台</w:t>
      </w:r>
      <w:r>
        <w:rPr>
          <w:rFonts w:hint="default" w:ascii="Times New Roman" w:hAnsi="Times New Roman" w:eastAsia="仿宋_GB2312" w:cs="Times New Roman"/>
          <w:b w:val="0"/>
          <w:bCs w:val="0"/>
          <w:color w:val="000000"/>
          <w:sz w:val="32"/>
          <w:szCs w:val="32"/>
        </w:rPr>
        <w:t>作为备用样品。</w:t>
      </w:r>
    </w:p>
    <w:p w14:paraId="1495DDDC">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2 检验依据</w:t>
      </w:r>
    </w:p>
    <w:tbl>
      <w:tblPr>
        <w:tblStyle w:val="2"/>
        <w:tblW w:w="48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6"/>
        <w:gridCol w:w="3728"/>
        <w:gridCol w:w="3560"/>
      </w:tblGrid>
      <w:tr w14:paraId="34749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blHeader/>
          <w:jc w:val="center"/>
        </w:trPr>
        <w:tc>
          <w:tcPr>
            <w:tcW w:w="574" w:type="pct"/>
            <w:tcBorders>
              <w:top w:val="single" w:color="auto" w:sz="4" w:space="0"/>
              <w:left w:val="single" w:color="auto" w:sz="4" w:space="0"/>
              <w:bottom w:val="single" w:color="auto" w:sz="4" w:space="0"/>
              <w:right w:val="single" w:color="auto" w:sz="4" w:space="0"/>
            </w:tcBorders>
            <w:vAlign w:val="center"/>
          </w:tcPr>
          <w:p w14:paraId="5D7868B5">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序号</w:t>
            </w:r>
          </w:p>
        </w:tc>
        <w:tc>
          <w:tcPr>
            <w:tcW w:w="2263" w:type="pct"/>
            <w:tcBorders>
              <w:top w:val="single" w:color="auto" w:sz="4" w:space="0"/>
              <w:left w:val="single" w:color="auto" w:sz="4" w:space="0"/>
              <w:bottom w:val="single" w:color="auto" w:sz="4" w:space="0"/>
              <w:right w:val="single" w:color="auto" w:sz="4" w:space="0"/>
            </w:tcBorders>
            <w:vAlign w:val="center"/>
          </w:tcPr>
          <w:p w14:paraId="1FCE0D0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检验项目</w:t>
            </w:r>
          </w:p>
        </w:tc>
        <w:tc>
          <w:tcPr>
            <w:tcW w:w="2161" w:type="pct"/>
            <w:tcBorders>
              <w:top w:val="single" w:color="auto" w:sz="4" w:space="0"/>
              <w:left w:val="single" w:color="auto" w:sz="4" w:space="0"/>
              <w:bottom w:val="single" w:color="auto" w:sz="4" w:space="0"/>
              <w:right w:val="single" w:color="auto" w:sz="4" w:space="0"/>
            </w:tcBorders>
            <w:vAlign w:val="center"/>
          </w:tcPr>
          <w:p w14:paraId="4DA60C82">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检验方法</w:t>
            </w:r>
          </w:p>
        </w:tc>
      </w:tr>
      <w:tr w14:paraId="5014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right w:val="single" w:color="auto" w:sz="4" w:space="0"/>
            </w:tcBorders>
            <w:vAlign w:val="center"/>
          </w:tcPr>
          <w:p w14:paraId="56BC48A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1</w:t>
            </w:r>
          </w:p>
        </w:tc>
        <w:tc>
          <w:tcPr>
            <w:tcW w:w="2263" w:type="pct"/>
            <w:tcBorders>
              <w:top w:val="single" w:color="auto" w:sz="4" w:space="0"/>
              <w:left w:val="single" w:color="auto" w:sz="4" w:space="0"/>
              <w:bottom w:val="single" w:color="auto" w:sz="4" w:space="0"/>
              <w:right w:val="single" w:color="auto" w:sz="4" w:space="0"/>
            </w:tcBorders>
            <w:vAlign w:val="center"/>
          </w:tcPr>
          <w:p w14:paraId="3A56059F">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外观检查</w:t>
            </w:r>
          </w:p>
        </w:tc>
        <w:tc>
          <w:tcPr>
            <w:tcW w:w="2161" w:type="pct"/>
            <w:tcBorders>
              <w:top w:val="single" w:color="auto" w:sz="4" w:space="0"/>
              <w:left w:val="single" w:color="auto" w:sz="4" w:space="0"/>
              <w:right w:val="single" w:color="auto" w:sz="4" w:space="0"/>
            </w:tcBorders>
            <w:vAlign w:val="center"/>
          </w:tcPr>
          <w:p w14:paraId="58F3E47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GB 15322.2-2019</w:t>
            </w:r>
          </w:p>
        </w:tc>
      </w:tr>
      <w:tr w14:paraId="3506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33B9E510">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rPr>
              <w:t>2</w:t>
            </w:r>
          </w:p>
        </w:tc>
        <w:tc>
          <w:tcPr>
            <w:tcW w:w="2263" w:type="pct"/>
            <w:tcBorders>
              <w:top w:val="single" w:color="auto" w:sz="4" w:space="0"/>
              <w:left w:val="single" w:color="auto" w:sz="4" w:space="0"/>
              <w:bottom w:val="single" w:color="auto" w:sz="4" w:space="0"/>
              <w:right w:val="single" w:color="auto" w:sz="4" w:space="0"/>
            </w:tcBorders>
            <w:vAlign w:val="center"/>
          </w:tcPr>
          <w:p w14:paraId="407F36F7">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报警动作值</w:t>
            </w:r>
          </w:p>
        </w:tc>
        <w:tc>
          <w:tcPr>
            <w:tcW w:w="2161" w:type="pct"/>
            <w:tcBorders>
              <w:top w:val="single" w:color="auto" w:sz="4" w:space="0"/>
              <w:left w:val="single" w:color="auto" w:sz="4" w:space="0"/>
              <w:bottom w:val="single" w:color="auto" w:sz="4" w:space="0"/>
              <w:right w:val="single" w:color="auto" w:sz="4" w:space="0"/>
            </w:tcBorders>
            <w:vAlign w:val="center"/>
          </w:tcPr>
          <w:p w14:paraId="2770C65E">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GB 15322.2-2019</w:t>
            </w:r>
          </w:p>
        </w:tc>
      </w:tr>
      <w:tr w14:paraId="5733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4904049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 w:val="32"/>
                <w:szCs w:val="32"/>
                <w:lang w:val="en-US" w:eastAsia="zh-CN"/>
              </w:rPr>
              <w:t>3</w:t>
            </w:r>
          </w:p>
        </w:tc>
        <w:tc>
          <w:tcPr>
            <w:tcW w:w="2263" w:type="pct"/>
            <w:tcBorders>
              <w:top w:val="single" w:color="auto" w:sz="4" w:space="0"/>
              <w:left w:val="single" w:color="auto" w:sz="4" w:space="0"/>
              <w:bottom w:val="single" w:color="auto" w:sz="4" w:space="0"/>
              <w:right w:val="single" w:color="auto" w:sz="4" w:space="0"/>
            </w:tcBorders>
            <w:vAlign w:val="center"/>
          </w:tcPr>
          <w:p w14:paraId="45B99420">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量程指示偏差</w:t>
            </w:r>
          </w:p>
        </w:tc>
        <w:tc>
          <w:tcPr>
            <w:tcW w:w="2161" w:type="pct"/>
            <w:tcBorders>
              <w:top w:val="single" w:color="auto" w:sz="4" w:space="0"/>
              <w:left w:val="single" w:color="auto" w:sz="4" w:space="0"/>
              <w:bottom w:val="single" w:color="auto" w:sz="4" w:space="0"/>
              <w:right w:val="single" w:color="auto" w:sz="4" w:space="0"/>
            </w:tcBorders>
            <w:vAlign w:val="center"/>
          </w:tcPr>
          <w:p w14:paraId="557816A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GB 15322.2-2019</w:t>
            </w:r>
          </w:p>
        </w:tc>
      </w:tr>
      <w:tr w14:paraId="5A0FA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3555E754">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4</w:t>
            </w:r>
          </w:p>
        </w:tc>
        <w:tc>
          <w:tcPr>
            <w:tcW w:w="2263" w:type="pct"/>
            <w:tcBorders>
              <w:top w:val="single" w:color="auto" w:sz="4" w:space="0"/>
              <w:left w:val="single" w:color="auto" w:sz="4" w:space="0"/>
              <w:bottom w:val="single" w:color="auto" w:sz="4" w:space="0"/>
              <w:right w:val="single" w:color="auto" w:sz="4" w:space="0"/>
            </w:tcBorders>
            <w:vAlign w:val="center"/>
          </w:tcPr>
          <w:p w14:paraId="7B318179">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响应时间</w:t>
            </w:r>
          </w:p>
        </w:tc>
        <w:tc>
          <w:tcPr>
            <w:tcW w:w="2161" w:type="pct"/>
            <w:tcBorders>
              <w:top w:val="single" w:color="auto" w:sz="4" w:space="0"/>
              <w:left w:val="single" w:color="auto" w:sz="4" w:space="0"/>
              <w:bottom w:val="single" w:color="auto" w:sz="4" w:space="0"/>
              <w:right w:val="single" w:color="auto" w:sz="4" w:space="0"/>
            </w:tcBorders>
            <w:vAlign w:val="center"/>
          </w:tcPr>
          <w:p w14:paraId="6C80A7BB">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GB 15322.2-2019</w:t>
            </w:r>
          </w:p>
        </w:tc>
      </w:tr>
      <w:tr w14:paraId="04ED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6" w:type="dxa"/>
            <w:tcBorders>
              <w:top w:val="single" w:color="auto" w:sz="4" w:space="0"/>
              <w:left w:val="single" w:color="auto" w:sz="4" w:space="0"/>
              <w:bottom w:val="single" w:color="auto" w:sz="4" w:space="0"/>
              <w:right w:val="single" w:color="auto" w:sz="4" w:space="0"/>
            </w:tcBorders>
            <w:vAlign w:val="center"/>
          </w:tcPr>
          <w:p w14:paraId="1C71F6B3">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5</w:t>
            </w:r>
          </w:p>
        </w:tc>
        <w:tc>
          <w:tcPr>
            <w:tcW w:w="2263" w:type="pct"/>
            <w:tcBorders>
              <w:top w:val="single" w:color="auto" w:sz="4" w:space="0"/>
              <w:left w:val="single" w:color="auto" w:sz="4" w:space="0"/>
              <w:bottom w:val="single" w:color="auto" w:sz="4" w:space="0"/>
              <w:right w:val="single" w:color="auto" w:sz="4" w:space="0"/>
            </w:tcBorders>
            <w:vAlign w:val="center"/>
          </w:tcPr>
          <w:p w14:paraId="61E3D30C">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电压波动</w:t>
            </w:r>
          </w:p>
        </w:tc>
        <w:tc>
          <w:tcPr>
            <w:tcW w:w="2161" w:type="pct"/>
            <w:tcBorders>
              <w:top w:val="single" w:color="auto" w:sz="4" w:space="0"/>
              <w:left w:val="single" w:color="auto" w:sz="4" w:space="0"/>
              <w:bottom w:val="single" w:color="auto" w:sz="4" w:space="0"/>
              <w:right w:val="single" w:color="auto" w:sz="4" w:space="0"/>
            </w:tcBorders>
            <w:vAlign w:val="center"/>
          </w:tcPr>
          <w:p w14:paraId="1870C6B8">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GB 15322.2-2019</w:t>
            </w:r>
          </w:p>
        </w:tc>
      </w:tr>
      <w:tr w14:paraId="6776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46" w:type="dxa"/>
            <w:tcBorders>
              <w:top w:val="single" w:color="auto" w:sz="4" w:space="0"/>
              <w:left w:val="single" w:color="auto" w:sz="4" w:space="0"/>
              <w:bottom w:val="single" w:color="auto" w:sz="4" w:space="0"/>
              <w:right w:val="single" w:color="auto" w:sz="4" w:space="0"/>
            </w:tcBorders>
            <w:vAlign w:val="center"/>
          </w:tcPr>
          <w:p w14:paraId="28962DFF">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val="en-US" w:eastAsia="zh-CN"/>
              </w:rPr>
              <w:t>6</w:t>
            </w:r>
          </w:p>
        </w:tc>
        <w:tc>
          <w:tcPr>
            <w:tcW w:w="2263" w:type="pct"/>
            <w:tcBorders>
              <w:top w:val="single" w:color="auto" w:sz="4" w:space="0"/>
              <w:left w:val="single" w:color="auto" w:sz="4" w:space="0"/>
              <w:bottom w:val="single" w:color="auto" w:sz="4" w:space="0"/>
              <w:right w:val="single" w:color="auto" w:sz="4" w:space="0"/>
            </w:tcBorders>
            <w:vAlign w:val="center"/>
          </w:tcPr>
          <w:p w14:paraId="36C45AFB">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绝缘电阻</w:t>
            </w:r>
          </w:p>
        </w:tc>
        <w:tc>
          <w:tcPr>
            <w:tcW w:w="2161" w:type="pct"/>
            <w:tcBorders>
              <w:top w:val="single" w:color="auto" w:sz="4" w:space="0"/>
              <w:left w:val="single" w:color="auto" w:sz="4" w:space="0"/>
              <w:bottom w:val="single" w:color="auto" w:sz="4" w:space="0"/>
              <w:right w:val="single" w:color="auto" w:sz="4" w:space="0"/>
            </w:tcBorders>
            <w:vAlign w:val="center"/>
          </w:tcPr>
          <w:p w14:paraId="6E447769">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GB 15322.2-2019</w:t>
            </w:r>
          </w:p>
        </w:tc>
      </w:tr>
      <w:tr w14:paraId="0D54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74" w:type="pct"/>
            <w:tcBorders>
              <w:top w:val="single" w:color="auto" w:sz="4" w:space="0"/>
              <w:left w:val="single" w:color="auto" w:sz="4" w:space="0"/>
              <w:bottom w:val="single" w:color="auto" w:sz="4" w:space="0"/>
              <w:right w:val="single" w:color="auto" w:sz="4" w:space="0"/>
            </w:tcBorders>
            <w:vAlign w:val="center"/>
          </w:tcPr>
          <w:p w14:paraId="5646CEB6">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7</w:t>
            </w:r>
          </w:p>
        </w:tc>
        <w:tc>
          <w:tcPr>
            <w:tcW w:w="2263" w:type="pct"/>
            <w:tcBorders>
              <w:top w:val="single" w:color="auto" w:sz="4" w:space="0"/>
              <w:left w:val="single" w:color="auto" w:sz="4" w:space="0"/>
              <w:bottom w:val="single" w:color="auto" w:sz="4" w:space="0"/>
              <w:right w:val="single" w:color="auto" w:sz="4" w:space="0"/>
            </w:tcBorders>
            <w:vAlign w:val="center"/>
          </w:tcPr>
          <w:p w14:paraId="7CF291FB">
            <w:pPr>
              <w:keepNext w:val="0"/>
              <w:keepLines w:val="0"/>
              <w:pageBreakBefore w:val="0"/>
              <w:widowControl w:val="0"/>
              <w:kinsoku/>
              <w:wordWrap/>
              <w:overflowPunct/>
              <w:topLinePunct w:val="0"/>
              <w:autoSpaceDE/>
              <w:autoSpaceDN/>
              <w:bidi w:val="0"/>
              <w:snapToGrid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电气强度</w:t>
            </w:r>
          </w:p>
        </w:tc>
        <w:tc>
          <w:tcPr>
            <w:tcW w:w="2161" w:type="pct"/>
            <w:tcBorders>
              <w:top w:val="single" w:color="auto" w:sz="4" w:space="0"/>
              <w:left w:val="single" w:color="auto" w:sz="4" w:space="0"/>
              <w:bottom w:val="single" w:color="auto" w:sz="4" w:space="0"/>
              <w:right w:val="single" w:color="auto" w:sz="4" w:space="0"/>
            </w:tcBorders>
            <w:vAlign w:val="center"/>
          </w:tcPr>
          <w:p w14:paraId="3BFA7D63">
            <w:pPr>
              <w:keepNext w:val="0"/>
              <w:keepLines w:val="0"/>
              <w:pageBreakBefore w:val="0"/>
              <w:widowControl w:val="0"/>
              <w:kinsoku/>
              <w:wordWrap/>
              <w:overflowPunct/>
              <w:topLinePunct w:val="0"/>
              <w:autoSpaceDE/>
              <w:autoSpaceDN/>
              <w:bidi w:val="0"/>
              <w:spacing w:line="600" w:lineRule="exact"/>
              <w:jc w:val="center"/>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color w:val="000000"/>
                <w:sz w:val="32"/>
                <w:szCs w:val="32"/>
              </w:rPr>
              <w:t>GB 15322.2-2019</w:t>
            </w:r>
          </w:p>
        </w:tc>
      </w:tr>
    </w:tbl>
    <w:p w14:paraId="71959FF2">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执行企业标准、团体标准、地方标准的产品，检验项目参照上述内容执行。</w:t>
      </w:r>
    </w:p>
    <w:p w14:paraId="6A9029E4">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凡是注日期的文件，其随后所有的修改单（不包括勘误的内容）或修订版不适用于本细则。凡是不注日期的文件，其最新版本适用于本细则。</w:t>
      </w:r>
    </w:p>
    <w:p w14:paraId="4AE7B4CE">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黑体" w:cs="Times New Roman"/>
          <w:b w:val="0"/>
          <w:bCs w:val="0"/>
          <w:color w:val="000000"/>
          <w:sz w:val="32"/>
          <w:szCs w:val="32"/>
        </w:rPr>
      </w:pPr>
      <w:r>
        <w:rPr>
          <w:rFonts w:hint="default" w:ascii="Times New Roman" w:hAnsi="Times New Roman" w:eastAsia="黑体" w:cs="Times New Roman"/>
          <w:b w:val="0"/>
          <w:bCs w:val="0"/>
          <w:color w:val="000000"/>
          <w:sz w:val="32"/>
          <w:szCs w:val="32"/>
        </w:rPr>
        <w:t>3 判定规则</w:t>
      </w:r>
    </w:p>
    <w:p w14:paraId="62ACD024">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楷体_GB2312" w:cs="Times New Roman"/>
          <w:b w:val="0"/>
          <w:bCs w:val="0"/>
          <w:color w:val="000000"/>
          <w:sz w:val="32"/>
          <w:szCs w:val="32"/>
        </w:rPr>
        <w:t>3.1依据标准</w:t>
      </w:r>
    </w:p>
    <w:p w14:paraId="5D270210">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rPr>
        <w:t>GB 15322.2-2019</w:t>
      </w:r>
      <w:r>
        <w:rPr>
          <w:rFonts w:hint="default" w:ascii="Times New Roman" w:hAnsi="Times New Roman" w:eastAsia="仿宋_GB2312" w:cs="Times New Roman"/>
          <w:b w:val="0"/>
          <w:bCs w:val="0"/>
          <w:color w:val="000000"/>
          <w:sz w:val="32"/>
          <w:szCs w:val="32"/>
          <w:lang w:val="en-US" w:eastAsia="zh-CN"/>
        </w:rPr>
        <w:t xml:space="preserve"> </w:t>
      </w:r>
      <w:r>
        <w:rPr>
          <w:rFonts w:hint="default" w:ascii="Times New Roman" w:hAnsi="Times New Roman" w:eastAsia="仿宋_GB2312" w:cs="Times New Roman"/>
          <w:b w:val="0"/>
          <w:bCs w:val="0"/>
          <w:color w:val="000000"/>
          <w:sz w:val="32"/>
          <w:szCs w:val="32"/>
        </w:rPr>
        <w:t>可燃气体探测器 第2部分:家用可燃气体探测器</w:t>
      </w:r>
    </w:p>
    <w:p w14:paraId="3B84EAB5">
      <w:pPr>
        <w:keepNext w:val="0"/>
        <w:keepLines w:val="0"/>
        <w:pageBreakBefore w:val="0"/>
        <w:widowControl w:val="0"/>
        <w:kinsoku/>
        <w:wordWrap/>
        <w:overflowPunct/>
        <w:topLinePunct w:val="0"/>
        <w:autoSpaceDE/>
        <w:autoSpaceDN/>
        <w:bidi w:val="0"/>
        <w:snapToGrid w:val="0"/>
        <w:spacing w:line="600" w:lineRule="exact"/>
        <w:ind w:firstLine="547" w:firstLineChars="171"/>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现行有效的企业标准、团体标准、地方标准及产品明示质量要求</w:t>
      </w:r>
    </w:p>
    <w:p w14:paraId="3354B4A0">
      <w:pPr>
        <w:keepNext w:val="0"/>
        <w:keepLines w:val="0"/>
        <w:pageBreakBefore w:val="0"/>
        <w:widowControl w:val="0"/>
        <w:kinsoku/>
        <w:wordWrap/>
        <w:overflowPunct/>
        <w:topLinePunct w:val="0"/>
        <w:autoSpaceDE/>
        <w:autoSpaceDN/>
        <w:bidi w:val="0"/>
        <w:snapToGrid w:val="0"/>
        <w:spacing w:line="600" w:lineRule="exact"/>
        <w:textAlignment w:val="auto"/>
        <w:rPr>
          <w:rFonts w:hint="default" w:ascii="Times New Roman" w:hAnsi="Times New Roman" w:eastAsia="楷体_GB2312" w:cs="Times New Roman"/>
          <w:b w:val="0"/>
          <w:bCs w:val="0"/>
          <w:color w:val="000000"/>
          <w:sz w:val="32"/>
          <w:szCs w:val="32"/>
        </w:rPr>
      </w:pPr>
      <w:r>
        <w:rPr>
          <w:rFonts w:hint="default" w:ascii="Times New Roman" w:hAnsi="Times New Roman" w:eastAsia="楷体_GB2312" w:cs="Times New Roman"/>
          <w:b w:val="0"/>
          <w:bCs w:val="0"/>
          <w:color w:val="000000"/>
          <w:sz w:val="32"/>
          <w:szCs w:val="32"/>
        </w:rPr>
        <w:t>3.2判定原则</w:t>
      </w:r>
    </w:p>
    <w:p w14:paraId="5DB88BEB">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经检验，检验项目全部合格，判定为被抽查产品所检项目未发现不合格；检验项目中任一项或一项以上不合格，判定为被抽查产品不合格。</w:t>
      </w:r>
    </w:p>
    <w:p w14:paraId="0D878F94">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若被检产品明示的质量要求高于本细则中检验项目依据的标准要求时，应按被检产品明示的质量要求判定。</w:t>
      </w:r>
    </w:p>
    <w:p w14:paraId="291C74A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若被检产品明示的质量要求低于本细则中检验项目依据的强制性标准要求时，应按照强制性标准要求判定。</w:t>
      </w:r>
    </w:p>
    <w:p w14:paraId="5FAFFF90">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若被检产品明示的质量要求低于或包含本细则中检验项目依据的推荐性标准要求时，应以被检产品明示的质量要求判定。</w:t>
      </w:r>
    </w:p>
    <w:p w14:paraId="78AE5CDB">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若被检产品明示的质量要求缺少本细则中检验项目依据的强制性标准要求时，应按照强制性标准要求判定。</w:t>
      </w:r>
    </w:p>
    <w:p w14:paraId="07554499">
      <w:pPr>
        <w:keepNext w:val="0"/>
        <w:keepLines w:val="0"/>
        <w:pageBreakBefore w:val="0"/>
        <w:widowControl w:val="0"/>
        <w:kinsoku/>
        <w:wordWrap/>
        <w:overflowPunct/>
        <w:topLinePunct w:val="0"/>
        <w:autoSpaceDE/>
        <w:autoSpaceDN/>
        <w:bidi w:val="0"/>
        <w:snapToGrid w:val="0"/>
        <w:spacing w:line="600" w:lineRule="exact"/>
        <w:ind w:firstLine="636" w:firstLineChars="199"/>
        <w:textAlignment w:val="auto"/>
        <w:rPr>
          <w:rFonts w:hint="default" w:ascii="Times New Roman" w:hAnsi="Times New Roman" w:eastAsia="仿宋_GB2312" w:cs="Times New Roman"/>
          <w:b w:val="0"/>
          <w:bCs w:val="0"/>
          <w:color w:val="000000"/>
          <w:sz w:val="32"/>
          <w:szCs w:val="32"/>
        </w:rPr>
      </w:pPr>
      <w:r>
        <w:rPr>
          <w:rFonts w:hint="default" w:ascii="Times New Roman" w:hAnsi="Times New Roman" w:eastAsia="仿宋_GB2312" w:cs="Times New Roman"/>
          <w:b w:val="0"/>
          <w:bCs w:val="0"/>
          <w:color w:val="000000"/>
          <w:sz w:val="32"/>
          <w:szCs w:val="32"/>
        </w:rPr>
        <w:t>若被检产品明示的质量要求缺少本细则中检验项目依据的推荐性标准要求时，该项目不参与判定。</w:t>
      </w:r>
    </w:p>
    <w:p w14:paraId="161677DB">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b w:val="0"/>
          <w:bCs w:val="0"/>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0E004A"/>
    <w:rsid w:val="003A5A4D"/>
    <w:rsid w:val="004367F8"/>
    <w:rsid w:val="00A94B2A"/>
    <w:rsid w:val="01B05095"/>
    <w:rsid w:val="09F50F23"/>
    <w:rsid w:val="0E74495A"/>
    <w:rsid w:val="11EA166F"/>
    <w:rsid w:val="14446D7D"/>
    <w:rsid w:val="15444425"/>
    <w:rsid w:val="1BFD1189"/>
    <w:rsid w:val="22B81E40"/>
    <w:rsid w:val="235B7191"/>
    <w:rsid w:val="241118E7"/>
    <w:rsid w:val="25723568"/>
    <w:rsid w:val="29357064"/>
    <w:rsid w:val="2B260840"/>
    <w:rsid w:val="2D9D6829"/>
    <w:rsid w:val="374C6535"/>
    <w:rsid w:val="38755FB3"/>
    <w:rsid w:val="38E96D6C"/>
    <w:rsid w:val="3C254BE5"/>
    <w:rsid w:val="438348F3"/>
    <w:rsid w:val="4FBD08EF"/>
    <w:rsid w:val="5063524A"/>
    <w:rsid w:val="522F5A32"/>
    <w:rsid w:val="620E004A"/>
    <w:rsid w:val="647B5BE7"/>
    <w:rsid w:val="651B3798"/>
    <w:rsid w:val="656535B0"/>
    <w:rsid w:val="67235546"/>
    <w:rsid w:val="6B9F3C68"/>
    <w:rsid w:val="78433412"/>
    <w:rsid w:val="7EFC02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cs="宋体"/>
      <w:sz w:val="20"/>
      <w:szCs w:val="20"/>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2</Pages>
  <Words>640</Words>
  <Characters>743</Characters>
  <Lines>5</Lines>
  <Paragraphs>1</Paragraphs>
  <TotalTime>1</TotalTime>
  <ScaleCrop>false</ScaleCrop>
  <LinksUpToDate>false</LinksUpToDate>
  <CharactersWithSpaces>756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2026-03-12T01:00:00Z</dcterms:created>
  <dc:creator>企业用户_1137131855</dc:creator>
  <cp:lastModifiedBy>一页旧城</cp:lastModifiedBy>
  <dcterms:modified xsi:type="dcterms:W3CDTF">2026-10-26T02:20:03Z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2C5D71276FA848A8B64EA023D1E6C310_13</vt:lpwstr>
  </property>
  <property fmtid="{D5CDD505-2E9C-101B-9397-08002B2CF9AE}" pid="4" name="KSOTemplateDocerSaveRecord">
    <vt:lpwstr>eyJoZGlkIjoiZjgyMDYxMTg5YWE2NjBiOGMwOTVlOThkNzEwZTUzMTMiLCJ1c2VySWQiOiIyNzIxMTM0ODcifQ==</vt:lpwstr>
  </property>
</Properties>
</file>