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F2AB2">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方正小标宋简体" w:cs="Times New Roman"/>
          <w:b w:val="0"/>
          <w:bCs w:val="0"/>
          <w:sz w:val="44"/>
          <w:szCs w:val="44"/>
        </w:rPr>
      </w:pPr>
      <w:bookmarkStart w:id="0" w:name="_GoBack"/>
      <w:r>
        <w:rPr>
          <w:rFonts w:hint="default" w:ascii="Times New Roman" w:hAnsi="Times New Roman" w:eastAsia="方正小标宋简体" w:cs="Times New Roman"/>
          <w:b w:val="0"/>
          <w:bCs w:val="0"/>
          <w:sz w:val="44"/>
          <w:szCs w:val="44"/>
          <w:lang w:val="en-US" w:eastAsia="zh-CN"/>
        </w:rPr>
        <w:t>巴彦淖尔市</w:t>
      </w:r>
      <w:r>
        <w:rPr>
          <w:rFonts w:hint="default" w:ascii="Times New Roman" w:hAnsi="Times New Roman" w:eastAsia="方正小标宋简体" w:cs="Times New Roman"/>
          <w:b w:val="0"/>
          <w:bCs w:val="0"/>
          <w:sz w:val="44"/>
          <w:szCs w:val="44"/>
        </w:rPr>
        <w:t>消防水带产品质量监督抽查实施细则（202</w:t>
      </w:r>
      <w:r>
        <w:rPr>
          <w:rFonts w:hint="default" w:ascii="Times New Roman" w:hAnsi="Times New Roman" w:eastAsia="方正小标宋简体" w:cs="Times New Roman"/>
          <w:b w:val="0"/>
          <w:bCs w:val="0"/>
          <w:sz w:val="44"/>
          <w:szCs w:val="44"/>
        </w:rPr>
        <w:t>6</w:t>
      </w:r>
      <w:r>
        <w:rPr>
          <w:rFonts w:hint="default" w:ascii="Times New Roman" w:hAnsi="Times New Roman" w:eastAsia="方正小标宋简体" w:cs="Times New Roman"/>
          <w:b w:val="0"/>
          <w:bCs w:val="0"/>
          <w:sz w:val="44"/>
          <w:szCs w:val="44"/>
        </w:rPr>
        <w:t>年版）</w:t>
      </w:r>
    </w:p>
    <w:p w14:paraId="0E980BCF">
      <w:pPr>
        <w:keepNext w:val="0"/>
        <w:keepLines w:val="0"/>
        <w:pageBreakBefore w:val="0"/>
        <w:widowControl w:val="0"/>
        <w:kinsoku/>
        <w:wordWrap/>
        <w:overflowPunct/>
        <w:topLinePunct w:val="0"/>
        <w:autoSpaceDE/>
        <w:autoSpaceDN/>
        <w:bidi w:val="0"/>
        <w:snapToGrid w:val="0"/>
        <w:spacing w:line="600" w:lineRule="exact"/>
        <w:ind w:firstLine="547" w:firstLineChars="171"/>
        <w:textAlignment w:val="auto"/>
        <w:rPr>
          <w:rFonts w:hint="default" w:ascii="Times New Roman" w:hAnsi="Times New Roman" w:eastAsia="仿宋_GB2312" w:cs="Times New Roman"/>
          <w:b w:val="0"/>
          <w:bCs w:val="0"/>
          <w:sz w:val="32"/>
          <w:szCs w:val="32"/>
        </w:rPr>
      </w:pPr>
    </w:p>
    <w:p w14:paraId="09F05DAD">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1 抽样方法</w:t>
      </w:r>
    </w:p>
    <w:p w14:paraId="11200F7D">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以随机抽样的方式在被抽样生产者、销售者的待销产品中抽取。</w:t>
      </w:r>
    </w:p>
    <w:p w14:paraId="2894403A">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随机数一般可使用随机数表等方法产生。</w:t>
      </w:r>
    </w:p>
    <w:p w14:paraId="00314C4D">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每批次产品抽取样品</w:t>
      </w:r>
      <w:r>
        <w:rPr>
          <w:rFonts w:hint="default" w:ascii="Times New Roman" w:hAnsi="Times New Roman" w:eastAsia="仿宋_GB2312" w:cs="Times New Roman"/>
          <w:b w:val="0"/>
          <w:bCs w:val="0"/>
          <w:sz w:val="32"/>
          <w:szCs w:val="32"/>
        </w:rPr>
        <w:t>4根</w:t>
      </w:r>
      <w:r>
        <w:rPr>
          <w:rFonts w:hint="default" w:ascii="Times New Roman" w:hAnsi="Times New Roman" w:eastAsia="仿宋_GB2312" w:cs="Times New Roman"/>
          <w:b w:val="0"/>
          <w:bCs w:val="0"/>
          <w:sz w:val="32"/>
          <w:szCs w:val="32"/>
        </w:rPr>
        <w:t>，其中</w:t>
      </w:r>
      <w:r>
        <w:rPr>
          <w:rFonts w:hint="default" w:ascii="Times New Roman" w:hAnsi="Times New Roman" w:eastAsia="仿宋_GB2312" w:cs="Times New Roman"/>
          <w:b w:val="0"/>
          <w:bCs w:val="0"/>
          <w:sz w:val="32"/>
          <w:szCs w:val="32"/>
        </w:rPr>
        <w:t>2根</w:t>
      </w:r>
      <w:r>
        <w:rPr>
          <w:rFonts w:hint="default" w:ascii="Times New Roman" w:hAnsi="Times New Roman" w:eastAsia="仿宋_GB2312" w:cs="Times New Roman"/>
          <w:b w:val="0"/>
          <w:bCs w:val="0"/>
          <w:sz w:val="32"/>
          <w:szCs w:val="32"/>
        </w:rPr>
        <w:t>为检验样品，</w:t>
      </w:r>
      <w:r>
        <w:rPr>
          <w:rFonts w:hint="default" w:ascii="Times New Roman" w:hAnsi="Times New Roman" w:eastAsia="仿宋_GB2312" w:cs="Times New Roman"/>
          <w:b w:val="0"/>
          <w:bCs w:val="0"/>
          <w:sz w:val="32"/>
          <w:szCs w:val="32"/>
        </w:rPr>
        <w:t>2根</w:t>
      </w:r>
      <w:r>
        <w:rPr>
          <w:rFonts w:hint="default" w:ascii="Times New Roman" w:hAnsi="Times New Roman" w:eastAsia="仿宋_GB2312" w:cs="Times New Roman"/>
          <w:b w:val="0"/>
          <w:bCs w:val="0"/>
          <w:sz w:val="32"/>
          <w:szCs w:val="32"/>
        </w:rPr>
        <w:t>为备用样品。</w:t>
      </w:r>
    </w:p>
    <w:p w14:paraId="16A89D1B">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2 检验依据</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5976"/>
        <w:gridCol w:w="2116"/>
      </w:tblGrid>
      <w:tr w14:paraId="1B8F9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vAlign w:val="center"/>
          </w:tcPr>
          <w:p w14:paraId="618AD65C">
            <w:pPr>
              <w:keepNext w:val="0"/>
              <w:keepLines w:val="0"/>
              <w:pageBreakBefore w:val="0"/>
              <w:widowControl w:val="0"/>
              <w:kinsoku/>
              <w:wordWrap/>
              <w:overflowPunct/>
              <w:topLinePunct w:val="0"/>
              <w:autoSpaceDE/>
              <w:autoSpaceDN/>
              <w:bidi w:val="0"/>
              <w:adjustRightInd w:val="0"/>
              <w:snapToGrid/>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序号</w:t>
            </w:r>
          </w:p>
        </w:tc>
        <w:tc>
          <w:tcPr>
            <w:tcW w:w="0" w:type="auto"/>
            <w:vAlign w:val="center"/>
          </w:tcPr>
          <w:p w14:paraId="3DE59469">
            <w:pPr>
              <w:keepNext w:val="0"/>
              <w:keepLines w:val="0"/>
              <w:pageBreakBefore w:val="0"/>
              <w:widowControl w:val="0"/>
              <w:kinsoku/>
              <w:wordWrap/>
              <w:overflowPunct/>
              <w:topLinePunct w:val="0"/>
              <w:autoSpaceDE/>
              <w:autoSpaceDN/>
              <w:bidi w:val="0"/>
              <w:adjustRightInd w:val="0"/>
              <w:snapToGrid/>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检验项目</w:t>
            </w:r>
          </w:p>
        </w:tc>
        <w:tc>
          <w:tcPr>
            <w:tcW w:w="0" w:type="auto"/>
            <w:vAlign w:val="center"/>
          </w:tcPr>
          <w:p w14:paraId="12679C11">
            <w:pPr>
              <w:keepNext w:val="0"/>
              <w:keepLines w:val="0"/>
              <w:pageBreakBefore w:val="0"/>
              <w:widowControl w:val="0"/>
              <w:kinsoku/>
              <w:wordWrap/>
              <w:overflowPunct/>
              <w:topLinePunct w:val="0"/>
              <w:autoSpaceDE/>
              <w:autoSpaceDN/>
              <w:bidi w:val="0"/>
              <w:adjustRightInd w:val="0"/>
              <w:snapToGrid/>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检验方法</w:t>
            </w:r>
          </w:p>
        </w:tc>
      </w:tr>
      <w:tr w14:paraId="01661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vAlign w:val="center"/>
          </w:tcPr>
          <w:p w14:paraId="4C44228A">
            <w:pPr>
              <w:keepNext w:val="0"/>
              <w:keepLines w:val="0"/>
              <w:pageBreakBefore w:val="0"/>
              <w:widowControl w:val="0"/>
              <w:kinsoku/>
              <w:wordWrap/>
              <w:overflowPunct/>
              <w:topLinePunct w:val="0"/>
              <w:autoSpaceDE/>
              <w:autoSpaceDN/>
              <w:bidi w:val="0"/>
              <w:adjustRightInd w:val="0"/>
              <w:snapToGrid/>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w:t>
            </w:r>
          </w:p>
        </w:tc>
        <w:tc>
          <w:tcPr>
            <w:tcW w:w="0" w:type="auto"/>
            <w:vAlign w:val="center"/>
          </w:tcPr>
          <w:p w14:paraId="2BDC6EE1">
            <w:pPr>
              <w:keepNext w:val="0"/>
              <w:keepLines w:val="0"/>
              <w:pageBreakBefore w:val="0"/>
              <w:widowControl w:val="0"/>
              <w:kinsoku/>
              <w:wordWrap/>
              <w:overflowPunct/>
              <w:topLinePunct w:val="0"/>
              <w:autoSpaceDE/>
              <w:autoSpaceDN/>
              <w:bidi w:val="0"/>
              <w:adjustRightInd w:val="0"/>
              <w:snapToGrid/>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内径</w:t>
            </w:r>
          </w:p>
        </w:tc>
        <w:tc>
          <w:tcPr>
            <w:tcW w:w="0" w:type="auto"/>
            <w:vAlign w:val="center"/>
          </w:tcPr>
          <w:p w14:paraId="172050F0">
            <w:pPr>
              <w:keepNext w:val="0"/>
              <w:keepLines w:val="0"/>
              <w:pageBreakBefore w:val="0"/>
              <w:widowControl w:val="0"/>
              <w:kinsoku/>
              <w:wordWrap/>
              <w:overflowPunct/>
              <w:topLinePunct w:val="0"/>
              <w:autoSpaceDE/>
              <w:autoSpaceDN/>
              <w:bidi w:val="0"/>
              <w:adjustRightInd w:val="0"/>
              <w:snapToGrid/>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GB 6246</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2011</w:t>
            </w:r>
          </w:p>
        </w:tc>
      </w:tr>
      <w:tr w14:paraId="2EEE7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vAlign w:val="center"/>
          </w:tcPr>
          <w:p w14:paraId="684CCDD4">
            <w:pPr>
              <w:keepNext w:val="0"/>
              <w:keepLines w:val="0"/>
              <w:pageBreakBefore w:val="0"/>
              <w:widowControl w:val="0"/>
              <w:kinsoku/>
              <w:wordWrap/>
              <w:overflowPunct/>
              <w:topLinePunct w:val="0"/>
              <w:autoSpaceDE/>
              <w:autoSpaceDN/>
              <w:bidi w:val="0"/>
              <w:adjustRightInd w:val="0"/>
              <w:snapToGrid/>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w:t>
            </w:r>
          </w:p>
        </w:tc>
        <w:tc>
          <w:tcPr>
            <w:tcW w:w="0" w:type="auto"/>
            <w:vAlign w:val="center"/>
          </w:tcPr>
          <w:p w14:paraId="0D568B09">
            <w:pPr>
              <w:keepNext w:val="0"/>
              <w:keepLines w:val="0"/>
              <w:pageBreakBefore w:val="0"/>
              <w:widowControl w:val="0"/>
              <w:kinsoku/>
              <w:wordWrap/>
              <w:overflowPunct/>
              <w:topLinePunct w:val="0"/>
              <w:autoSpaceDE/>
              <w:autoSpaceDN/>
              <w:bidi w:val="0"/>
              <w:adjustRightInd w:val="0"/>
              <w:snapToGrid/>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长度</w:t>
            </w:r>
          </w:p>
        </w:tc>
        <w:tc>
          <w:tcPr>
            <w:tcW w:w="0" w:type="auto"/>
            <w:vAlign w:val="center"/>
          </w:tcPr>
          <w:p w14:paraId="104673A0">
            <w:pPr>
              <w:keepNext w:val="0"/>
              <w:keepLines w:val="0"/>
              <w:pageBreakBefore w:val="0"/>
              <w:widowControl w:val="0"/>
              <w:kinsoku/>
              <w:wordWrap/>
              <w:overflowPunct/>
              <w:topLinePunct w:val="0"/>
              <w:autoSpaceDE/>
              <w:autoSpaceDN/>
              <w:bidi w:val="0"/>
              <w:adjustRightInd w:val="0"/>
              <w:snapToGrid/>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GB 6246</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2011</w:t>
            </w:r>
          </w:p>
        </w:tc>
      </w:tr>
      <w:tr w14:paraId="76938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vAlign w:val="center"/>
          </w:tcPr>
          <w:p w14:paraId="42B3E514">
            <w:pPr>
              <w:keepNext w:val="0"/>
              <w:keepLines w:val="0"/>
              <w:pageBreakBefore w:val="0"/>
              <w:widowControl w:val="0"/>
              <w:kinsoku/>
              <w:wordWrap/>
              <w:overflowPunct/>
              <w:topLinePunct w:val="0"/>
              <w:autoSpaceDE/>
              <w:autoSpaceDN/>
              <w:bidi w:val="0"/>
              <w:adjustRightInd w:val="0"/>
              <w:snapToGrid/>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3</w:t>
            </w:r>
          </w:p>
        </w:tc>
        <w:tc>
          <w:tcPr>
            <w:tcW w:w="0" w:type="auto"/>
            <w:vAlign w:val="center"/>
          </w:tcPr>
          <w:p w14:paraId="279977E4">
            <w:pPr>
              <w:keepNext w:val="0"/>
              <w:keepLines w:val="0"/>
              <w:pageBreakBefore w:val="0"/>
              <w:widowControl w:val="0"/>
              <w:kinsoku/>
              <w:wordWrap/>
              <w:overflowPunct/>
              <w:topLinePunct w:val="0"/>
              <w:autoSpaceDE/>
              <w:autoSpaceDN/>
              <w:bidi w:val="0"/>
              <w:adjustRightInd w:val="0"/>
              <w:snapToGrid/>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设计工作压力、试验压力及最小爆破压力</w:t>
            </w:r>
          </w:p>
        </w:tc>
        <w:tc>
          <w:tcPr>
            <w:tcW w:w="0" w:type="auto"/>
            <w:vAlign w:val="center"/>
          </w:tcPr>
          <w:p w14:paraId="6E58CD19">
            <w:pPr>
              <w:keepNext w:val="0"/>
              <w:keepLines w:val="0"/>
              <w:pageBreakBefore w:val="0"/>
              <w:widowControl w:val="0"/>
              <w:kinsoku/>
              <w:wordWrap/>
              <w:overflowPunct/>
              <w:topLinePunct w:val="0"/>
              <w:autoSpaceDE/>
              <w:autoSpaceDN/>
              <w:bidi w:val="0"/>
              <w:adjustRightInd w:val="0"/>
              <w:snapToGrid/>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GB 6246</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2011</w:t>
            </w:r>
          </w:p>
        </w:tc>
      </w:tr>
      <w:tr w14:paraId="32D45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vAlign w:val="center"/>
          </w:tcPr>
          <w:p w14:paraId="09BEF8C9">
            <w:pPr>
              <w:keepNext w:val="0"/>
              <w:keepLines w:val="0"/>
              <w:pageBreakBefore w:val="0"/>
              <w:widowControl w:val="0"/>
              <w:kinsoku/>
              <w:wordWrap/>
              <w:overflowPunct/>
              <w:topLinePunct w:val="0"/>
              <w:autoSpaceDE/>
              <w:autoSpaceDN/>
              <w:bidi w:val="0"/>
              <w:adjustRightInd w:val="0"/>
              <w:snapToGrid/>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4</w:t>
            </w:r>
          </w:p>
        </w:tc>
        <w:tc>
          <w:tcPr>
            <w:tcW w:w="0" w:type="auto"/>
            <w:vAlign w:val="center"/>
          </w:tcPr>
          <w:p w14:paraId="6843D1C3">
            <w:pPr>
              <w:keepNext w:val="0"/>
              <w:keepLines w:val="0"/>
              <w:pageBreakBefore w:val="0"/>
              <w:widowControl w:val="0"/>
              <w:kinsoku/>
              <w:wordWrap/>
              <w:overflowPunct/>
              <w:topLinePunct w:val="0"/>
              <w:autoSpaceDE/>
              <w:autoSpaceDN/>
              <w:bidi w:val="0"/>
              <w:adjustRightInd w:val="0"/>
              <w:snapToGrid/>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color w:val="000000"/>
                <w:sz w:val="32"/>
                <w:szCs w:val="32"/>
              </w:rPr>
              <w:t>耐磨性能</w:t>
            </w:r>
          </w:p>
        </w:tc>
        <w:tc>
          <w:tcPr>
            <w:tcW w:w="0" w:type="auto"/>
            <w:vAlign w:val="center"/>
          </w:tcPr>
          <w:p w14:paraId="5675E3C9">
            <w:pPr>
              <w:keepNext w:val="0"/>
              <w:keepLines w:val="0"/>
              <w:pageBreakBefore w:val="0"/>
              <w:widowControl w:val="0"/>
              <w:kinsoku/>
              <w:wordWrap/>
              <w:overflowPunct/>
              <w:topLinePunct w:val="0"/>
              <w:autoSpaceDE/>
              <w:autoSpaceDN/>
              <w:bidi w:val="0"/>
              <w:adjustRightInd w:val="0"/>
              <w:snapToGrid/>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GB 6246</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2011</w:t>
            </w:r>
          </w:p>
        </w:tc>
      </w:tr>
      <w:tr w14:paraId="1231B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vAlign w:val="center"/>
          </w:tcPr>
          <w:p w14:paraId="5E5ED2F1">
            <w:pPr>
              <w:keepNext w:val="0"/>
              <w:keepLines w:val="0"/>
              <w:pageBreakBefore w:val="0"/>
              <w:widowControl w:val="0"/>
              <w:kinsoku/>
              <w:wordWrap/>
              <w:overflowPunct/>
              <w:topLinePunct w:val="0"/>
              <w:autoSpaceDE/>
              <w:autoSpaceDN/>
              <w:bidi w:val="0"/>
              <w:adjustRightInd w:val="0"/>
              <w:snapToGrid/>
              <w:spacing w:line="600" w:lineRule="exact"/>
              <w:jc w:val="center"/>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5</w:t>
            </w:r>
          </w:p>
        </w:tc>
        <w:tc>
          <w:tcPr>
            <w:tcW w:w="0" w:type="auto"/>
            <w:vAlign w:val="center"/>
          </w:tcPr>
          <w:p w14:paraId="6EBD3C84">
            <w:pPr>
              <w:keepNext w:val="0"/>
              <w:keepLines w:val="0"/>
              <w:pageBreakBefore w:val="0"/>
              <w:widowControl w:val="0"/>
              <w:kinsoku/>
              <w:wordWrap/>
              <w:overflowPunct/>
              <w:topLinePunct w:val="0"/>
              <w:autoSpaceDE/>
              <w:autoSpaceDN/>
              <w:bidi w:val="0"/>
              <w:adjustRightInd w:val="0"/>
              <w:snapToGrid/>
              <w:spacing w:line="600" w:lineRule="exact"/>
              <w:jc w:val="center"/>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延伸率和膨胀率及扭转方向</w:t>
            </w:r>
          </w:p>
        </w:tc>
        <w:tc>
          <w:tcPr>
            <w:tcW w:w="0" w:type="auto"/>
            <w:vAlign w:val="center"/>
          </w:tcPr>
          <w:p w14:paraId="203F5F97">
            <w:pPr>
              <w:keepNext w:val="0"/>
              <w:keepLines w:val="0"/>
              <w:pageBreakBefore w:val="0"/>
              <w:widowControl w:val="0"/>
              <w:kinsoku/>
              <w:wordWrap/>
              <w:overflowPunct/>
              <w:topLinePunct w:val="0"/>
              <w:autoSpaceDE/>
              <w:autoSpaceDN/>
              <w:bidi w:val="0"/>
              <w:adjustRightInd w:val="0"/>
              <w:snapToGrid/>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GB 6246</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2011</w:t>
            </w:r>
          </w:p>
        </w:tc>
      </w:tr>
    </w:tbl>
    <w:p w14:paraId="50D43483">
      <w:pPr>
        <w:keepNext w:val="0"/>
        <w:keepLines w:val="0"/>
        <w:pageBreakBefore w:val="0"/>
        <w:widowControl w:val="0"/>
        <w:kinsoku/>
        <w:wordWrap/>
        <w:overflowPunct/>
        <w:topLinePunct w:val="0"/>
        <w:autoSpaceDE/>
        <w:autoSpaceDN/>
        <w:bidi w:val="0"/>
        <w:snapToGrid w:val="0"/>
        <w:spacing w:line="600" w:lineRule="exact"/>
        <w:ind w:firstLine="547" w:firstLineChars="171"/>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执行企业标准、团体标准、地方标准的产品，检验项目参照上述内容执行。</w:t>
      </w:r>
    </w:p>
    <w:p w14:paraId="4AC9B03C">
      <w:pPr>
        <w:keepNext w:val="0"/>
        <w:keepLines w:val="0"/>
        <w:pageBreakBefore w:val="0"/>
        <w:widowControl w:val="0"/>
        <w:kinsoku/>
        <w:wordWrap/>
        <w:overflowPunct/>
        <w:topLinePunct w:val="0"/>
        <w:autoSpaceDE/>
        <w:autoSpaceDN/>
        <w:bidi w:val="0"/>
        <w:snapToGrid w:val="0"/>
        <w:spacing w:line="600" w:lineRule="exact"/>
        <w:ind w:firstLine="547" w:firstLineChars="171"/>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凡是注日期的文件，其随后所有的修改单（不包括勘误的内容）或修订版不适用于本细则。凡是不注日期的文件，其最新版本适用于本细则。</w:t>
      </w:r>
    </w:p>
    <w:p w14:paraId="42ECBB94">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3 判定规则</w:t>
      </w:r>
    </w:p>
    <w:p w14:paraId="415BA5AD">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楷体_GB2312" w:cs="Times New Roman"/>
          <w:b w:val="0"/>
          <w:bCs w:val="0"/>
          <w:sz w:val="32"/>
          <w:szCs w:val="32"/>
        </w:rPr>
      </w:pPr>
      <w:r>
        <w:rPr>
          <w:rFonts w:hint="default" w:ascii="Times New Roman" w:hAnsi="Times New Roman" w:eastAsia="楷体_GB2312" w:cs="Times New Roman"/>
          <w:b w:val="0"/>
          <w:bCs w:val="0"/>
          <w:sz w:val="32"/>
          <w:szCs w:val="32"/>
        </w:rPr>
        <w:t>3.1依据标准</w:t>
      </w:r>
    </w:p>
    <w:p w14:paraId="70D6780D">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 xml:space="preserve">GB </w:t>
      </w:r>
      <w:r>
        <w:rPr>
          <w:rFonts w:hint="default" w:ascii="Times New Roman" w:hAnsi="Times New Roman" w:eastAsia="仿宋_GB2312" w:cs="Times New Roman"/>
          <w:b w:val="0"/>
          <w:bCs w:val="0"/>
          <w:sz w:val="32"/>
          <w:szCs w:val="32"/>
        </w:rPr>
        <w:t>6246</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2011</w:t>
      </w:r>
      <w:r>
        <w:rPr>
          <w:rFonts w:hint="default" w:ascii="Times New Roman" w:hAnsi="Times New Roman" w:eastAsia="仿宋_GB2312" w:cs="Times New Roman"/>
          <w:b w:val="0"/>
          <w:bCs w:val="0"/>
          <w:sz w:val="32"/>
          <w:szCs w:val="32"/>
        </w:rPr>
        <w:t xml:space="preserve"> </w:t>
      </w:r>
      <w:r>
        <w:rPr>
          <w:rFonts w:hint="default" w:ascii="Times New Roman" w:hAnsi="Times New Roman" w:eastAsia="仿宋_GB2312" w:cs="Times New Roman"/>
          <w:b w:val="0"/>
          <w:bCs w:val="0"/>
          <w:sz w:val="32"/>
          <w:szCs w:val="32"/>
        </w:rPr>
        <w:t>消防水带</w:t>
      </w:r>
    </w:p>
    <w:p w14:paraId="501A7248">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sz w:val="32"/>
          <w:szCs w:val="32"/>
        </w:rPr>
        <w:t>现行有效的企业标准、团体标准、地方标准及产品明示质量要求</w:t>
      </w:r>
    </w:p>
    <w:p w14:paraId="18CBE43E">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楷体_GB2312" w:cs="Times New Roman"/>
          <w:b w:val="0"/>
          <w:bCs w:val="0"/>
          <w:sz w:val="32"/>
          <w:szCs w:val="32"/>
        </w:rPr>
      </w:pPr>
      <w:r>
        <w:rPr>
          <w:rFonts w:hint="default" w:ascii="Times New Roman" w:hAnsi="Times New Roman" w:eastAsia="楷体_GB2312" w:cs="Times New Roman"/>
          <w:b w:val="0"/>
          <w:bCs w:val="0"/>
          <w:sz w:val="32"/>
          <w:szCs w:val="32"/>
        </w:rPr>
        <w:t>3.2判定原则</w:t>
      </w:r>
    </w:p>
    <w:p w14:paraId="249152A6">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经检验，检验项目全部合格，判定为被抽查产品所检项目未发现不合格；检验项目中任一项或一项以上不合格，判定为被抽查产品不合格。</w:t>
      </w:r>
    </w:p>
    <w:p w14:paraId="4CDCFDDC">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若被检产品明示的质量要求高于本细则中检验项目依据的标准要求时，应按被检产品明示的质量要求判定。</w:t>
      </w:r>
    </w:p>
    <w:p w14:paraId="5015FA40">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若被检产品明示的质量要求低于本细则中检验项目依据的强制性标准要求时，应按照强制性标准要求判定。</w:t>
      </w:r>
    </w:p>
    <w:p w14:paraId="7320C25F">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若被检产品明示的质量要求低于或包含本细则中检验项目依据的推荐性标准要求时，应以被检产品明示的质量要求判定。</w:t>
      </w:r>
    </w:p>
    <w:p w14:paraId="139B5A42">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若被检产品明示的质量要求缺少本细则中检验项目依据的强制性标准要求时，应按照强制性标准要求判定。</w:t>
      </w:r>
    </w:p>
    <w:p w14:paraId="457B7EDB">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若被检产品明示的质量要求缺少本细则中检验项目依据的推荐性标准要求时，该项目不参与判定。</w:t>
      </w:r>
    </w:p>
    <w:bookmarkEnd w:id="0"/>
    <w:sectPr>
      <w:headerReference r:id="rId3" w:type="default"/>
      <w:footerReference r:id="rId4" w:type="default"/>
      <w:footerReference r:id="rId5" w:type="even"/>
      <w:pgSz w:w="11906" w:h="16838"/>
      <w:pgMar w:top="1985" w:right="1474" w:bottom="1644"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2BA204D-D748-4B61-AEFD-660FBCA3D5B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FB622E8F-BA55-477C-86D8-F20D31F170D5}"/>
  </w:font>
  <w:font w:name="楷体_GB2312">
    <w:panose1 w:val="02010609030101010101"/>
    <w:charset w:val="86"/>
    <w:family w:val="auto"/>
    <w:pitch w:val="default"/>
    <w:sig w:usb0="00000001" w:usb1="080E0000" w:usb2="00000000" w:usb3="00000000" w:csb0="00040000" w:csb1="00000000"/>
    <w:embedRegular r:id="rId3" w:fontKey="{C1BEA501-6182-4189-8311-DBCFE7ABC54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6825A">
    <w:pPr>
      <w:pStyle w:val="4"/>
      <w:jc w:val="center"/>
    </w:pPr>
    <w:r>
      <w:rPr>
        <w:lang w:val="zh-CN"/>
      </w:rPr>
      <w:fldChar w:fldCharType="begin"/>
    </w:r>
    <w:r>
      <w:rPr>
        <w:lang w:val="zh-CN"/>
      </w:rPr>
      <w:instrText xml:space="preserve"> PAGE   \* MERGEFORMAT </w:instrText>
    </w:r>
    <w:r>
      <w:rPr>
        <w:lang w:val="zh-CN"/>
      </w:rPr>
      <w:fldChar w:fldCharType="separate"/>
    </w:r>
    <w:r>
      <w:t>1</w:t>
    </w:r>
    <w:r>
      <w:rPr>
        <w:lang w:val="zh-CN"/>
      </w:rPr>
      <w:fldChar w:fldCharType="end"/>
    </w:r>
  </w:p>
  <w:p w14:paraId="3BA90CD5">
    <w:pPr>
      <w:pStyle w:val="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0F362">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2</w:t>
    </w:r>
    <w:r>
      <w:fldChar w:fldCharType="end"/>
    </w:r>
  </w:p>
  <w:p w14:paraId="5B4E2E32">
    <w:pPr>
      <w:pStyle w:val="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5D9AA">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lZTg4MTIyMzkwYWY2YjZmM2M5NWM4ZjgyY2JmZGIifQ=="/>
  </w:docVars>
  <w:rsids>
    <w:rsidRoot w:val="00172A27"/>
    <w:rsid w:val="00002218"/>
    <w:rsid w:val="00051A44"/>
    <w:rsid w:val="00064713"/>
    <w:rsid w:val="00081CBD"/>
    <w:rsid w:val="000976DE"/>
    <w:rsid w:val="000B7BA8"/>
    <w:rsid w:val="00123D1C"/>
    <w:rsid w:val="00172A27"/>
    <w:rsid w:val="001809DD"/>
    <w:rsid w:val="00195559"/>
    <w:rsid w:val="001A057E"/>
    <w:rsid w:val="00232530"/>
    <w:rsid w:val="00253624"/>
    <w:rsid w:val="002D7F8A"/>
    <w:rsid w:val="002E0D1D"/>
    <w:rsid w:val="003203A3"/>
    <w:rsid w:val="00332461"/>
    <w:rsid w:val="0036179B"/>
    <w:rsid w:val="00365CBE"/>
    <w:rsid w:val="00373B12"/>
    <w:rsid w:val="003A3D25"/>
    <w:rsid w:val="003A7D30"/>
    <w:rsid w:val="003B4E52"/>
    <w:rsid w:val="003C388C"/>
    <w:rsid w:val="003D09A1"/>
    <w:rsid w:val="003D35F1"/>
    <w:rsid w:val="003E61BF"/>
    <w:rsid w:val="004021C4"/>
    <w:rsid w:val="004104AC"/>
    <w:rsid w:val="00422AC8"/>
    <w:rsid w:val="00445E86"/>
    <w:rsid w:val="0045434D"/>
    <w:rsid w:val="00474E04"/>
    <w:rsid w:val="00483277"/>
    <w:rsid w:val="004D0C5A"/>
    <w:rsid w:val="004D184C"/>
    <w:rsid w:val="004E1396"/>
    <w:rsid w:val="004E6C21"/>
    <w:rsid w:val="00563EBC"/>
    <w:rsid w:val="005B0EF1"/>
    <w:rsid w:val="005F4ED9"/>
    <w:rsid w:val="006C763E"/>
    <w:rsid w:val="006E1171"/>
    <w:rsid w:val="006F0971"/>
    <w:rsid w:val="0072334C"/>
    <w:rsid w:val="007C46E1"/>
    <w:rsid w:val="007D7863"/>
    <w:rsid w:val="00847E10"/>
    <w:rsid w:val="00864CC8"/>
    <w:rsid w:val="00895A46"/>
    <w:rsid w:val="00895BEA"/>
    <w:rsid w:val="008A3497"/>
    <w:rsid w:val="008F73D2"/>
    <w:rsid w:val="00917A54"/>
    <w:rsid w:val="009518C4"/>
    <w:rsid w:val="00A15A30"/>
    <w:rsid w:val="00A17737"/>
    <w:rsid w:val="00A23D98"/>
    <w:rsid w:val="00A43553"/>
    <w:rsid w:val="00AC26DA"/>
    <w:rsid w:val="00AC5391"/>
    <w:rsid w:val="00B16E77"/>
    <w:rsid w:val="00B65F23"/>
    <w:rsid w:val="00B66661"/>
    <w:rsid w:val="00B964F7"/>
    <w:rsid w:val="00BF2B8C"/>
    <w:rsid w:val="00C26074"/>
    <w:rsid w:val="00C61F4D"/>
    <w:rsid w:val="00C83B0A"/>
    <w:rsid w:val="00CE1E0C"/>
    <w:rsid w:val="00CE277E"/>
    <w:rsid w:val="00D56867"/>
    <w:rsid w:val="00D91112"/>
    <w:rsid w:val="00DC1C25"/>
    <w:rsid w:val="00E02A7F"/>
    <w:rsid w:val="00E07880"/>
    <w:rsid w:val="00E40C61"/>
    <w:rsid w:val="00E4526D"/>
    <w:rsid w:val="00E82621"/>
    <w:rsid w:val="00F77C9A"/>
    <w:rsid w:val="00F80CD3"/>
    <w:rsid w:val="00F841E8"/>
    <w:rsid w:val="00FB576C"/>
    <w:rsid w:val="00FD2AA6"/>
    <w:rsid w:val="00FE7E8A"/>
    <w:rsid w:val="01050F22"/>
    <w:rsid w:val="01EC568C"/>
    <w:rsid w:val="035F4D61"/>
    <w:rsid w:val="03E8026C"/>
    <w:rsid w:val="04223EC3"/>
    <w:rsid w:val="04455AD9"/>
    <w:rsid w:val="0515045A"/>
    <w:rsid w:val="053A5D1F"/>
    <w:rsid w:val="06330511"/>
    <w:rsid w:val="0B3F3C9B"/>
    <w:rsid w:val="0B7369C9"/>
    <w:rsid w:val="0D7F5DD6"/>
    <w:rsid w:val="0D863A42"/>
    <w:rsid w:val="0E6C49AA"/>
    <w:rsid w:val="0EC06320"/>
    <w:rsid w:val="137155C8"/>
    <w:rsid w:val="13E21614"/>
    <w:rsid w:val="13EC0A13"/>
    <w:rsid w:val="1536339B"/>
    <w:rsid w:val="16714FDF"/>
    <w:rsid w:val="16A42B33"/>
    <w:rsid w:val="17722603"/>
    <w:rsid w:val="17C41DB0"/>
    <w:rsid w:val="1B53427F"/>
    <w:rsid w:val="1B595246"/>
    <w:rsid w:val="1BD5034A"/>
    <w:rsid w:val="1D174936"/>
    <w:rsid w:val="1E6A4663"/>
    <w:rsid w:val="1EBD4792"/>
    <w:rsid w:val="1ED67B17"/>
    <w:rsid w:val="1FD955FC"/>
    <w:rsid w:val="20485A20"/>
    <w:rsid w:val="21426C04"/>
    <w:rsid w:val="21464F13"/>
    <w:rsid w:val="21A45E03"/>
    <w:rsid w:val="21C9561A"/>
    <w:rsid w:val="2629095F"/>
    <w:rsid w:val="26641AE8"/>
    <w:rsid w:val="26973A9B"/>
    <w:rsid w:val="26C2385A"/>
    <w:rsid w:val="27053916"/>
    <w:rsid w:val="2835183D"/>
    <w:rsid w:val="287A3098"/>
    <w:rsid w:val="2A285235"/>
    <w:rsid w:val="2AB7785E"/>
    <w:rsid w:val="2ADD1864"/>
    <w:rsid w:val="2C637DF5"/>
    <w:rsid w:val="2E7A26A0"/>
    <w:rsid w:val="2F524A74"/>
    <w:rsid w:val="2F74526F"/>
    <w:rsid w:val="31F70331"/>
    <w:rsid w:val="360867E3"/>
    <w:rsid w:val="36953AD3"/>
    <w:rsid w:val="38256B53"/>
    <w:rsid w:val="384433F4"/>
    <w:rsid w:val="39AA099D"/>
    <w:rsid w:val="3D143185"/>
    <w:rsid w:val="3F7B78A2"/>
    <w:rsid w:val="3F7C5422"/>
    <w:rsid w:val="426E308D"/>
    <w:rsid w:val="44937BC0"/>
    <w:rsid w:val="474A448A"/>
    <w:rsid w:val="4809790C"/>
    <w:rsid w:val="48C24E10"/>
    <w:rsid w:val="4AA448D5"/>
    <w:rsid w:val="4B705CC2"/>
    <w:rsid w:val="4CD23888"/>
    <w:rsid w:val="4DF21A2E"/>
    <w:rsid w:val="4EA242AD"/>
    <w:rsid w:val="4F8545A9"/>
    <w:rsid w:val="4F876573"/>
    <w:rsid w:val="4FA72771"/>
    <w:rsid w:val="4FC76963"/>
    <w:rsid w:val="53C52AE3"/>
    <w:rsid w:val="55357FE7"/>
    <w:rsid w:val="56C1236A"/>
    <w:rsid w:val="5AA916F6"/>
    <w:rsid w:val="5AF25FB4"/>
    <w:rsid w:val="5B3E21DC"/>
    <w:rsid w:val="5BC9688D"/>
    <w:rsid w:val="5C9F35EA"/>
    <w:rsid w:val="5EE66E12"/>
    <w:rsid w:val="5FB92779"/>
    <w:rsid w:val="61CF4DD8"/>
    <w:rsid w:val="64AB1D46"/>
    <w:rsid w:val="64D30CB5"/>
    <w:rsid w:val="64DF21E3"/>
    <w:rsid w:val="64FA641F"/>
    <w:rsid w:val="661501DF"/>
    <w:rsid w:val="66D6776C"/>
    <w:rsid w:val="69F506C2"/>
    <w:rsid w:val="6A4F377E"/>
    <w:rsid w:val="6A997170"/>
    <w:rsid w:val="6B304EB8"/>
    <w:rsid w:val="6E7E7CE3"/>
    <w:rsid w:val="6E8C1058"/>
    <w:rsid w:val="6F0931B7"/>
    <w:rsid w:val="6FB72105"/>
    <w:rsid w:val="6FC767EC"/>
    <w:rsid w:val="6FDE3B35"/>
    <w:rsid w:val="6FE56C72"/>
    <w:rsid w:val="72B2632B"/>
    <w:rsid w:val="742A7349"/>
    <w:rsid w:val="74430285"/>
    <w:rsid w:val="751B38E5"/>
    <w:rsid w:val="75373AD4"/>
    <w:rsid w:val="755328D0"/>
    <w:rsid w:val="756E14B8"/>
    <w:rsid w:val="780649BD"/>
    <w:rsid w:val="78CF04BF"/>
    <w:rsid w:val="78E6643D"/>
    <w:rsid w:val="7A1F7326"/>
    <w:rsid w:val="7AA02113"/>
    <w:rsid w:val="7B3773D4"/>
    <w:rsid w:val="7FEA44EA"/>
    <w:rsid w:val="CDEB0558"/>
    <w:rsid w:val="EFFD986E"/>
    <w:rsid w:val="F49F9D77"/>
    <w:rsid w:val="FF8FBF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1"/>
    <w:unhideWhenUsed/>
    <w:qFormat/>
    <w:uiPriority w:val="99"/>
    <w:pPr>
      <w:jc w:val="left"/>
    </w:pPr>
  </w:style>
  <w:style w:type="paragraph" w:styleId="3">
    <w:name w:val="Balloon Text"/>
    <w:basedOn w:val="1"/>
    <w:link w:val="12"/>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unhideWhenUsed/>
    <w:qFormat/>
    <w:uiPriority w:val="99"/>
    <w:rPr>
      <w:b/>
      <w:bCs/>
    </w:rPr>
  </w:style>
  <w:style w:type="character" w:styleId="9">
    <w:name w:val="page number"/>
    <w:autoRedefine/>
    <w:qFormat/>
    <w:uiPriority w:val="0"/>
  </w:style>
  <w:style w:type="character" w:styleId="10">
    <w:name w:val="annotation reference"/>
    <w:autoRedefine/>
    <w:unhideWhenUsed/>
    <w:qFormat/>
    <w:uiPriority w:val="99"/>
    <w:rPr>
      <w:sz w:val="21"/>
      <w:szCs w:val="21"/>
    </w:rPr>
  </w:style>
  <w:style w:type="character" w:customStyle="1" w:styleId="11">
    <w:name w:val="批注文字 字符"/>
    <w:link w:val="2"/>
    <w:semiHidden/>
    <w:qFormat/>
    <w:uiPriority w:val="99"/>
    <w:rPr>
      <w:kern w:val="2"/>
      <w:sz w:val="21"/>
      <w:szCs w:val="24"/>
    </w:rPr>
  </w:style>
  <w:style w:type="character" w:customStyle="1" w:styleId="12">
    <w:name w:val="批注框文本 字符"/>
    <w:link w:val="3"/>
    <w:autoRedefine/>
    <w:semiHidden/>
    <w:qFormat/>
    <w:uiPriority w:val="99"/>
    <w:rPr>
      <w:kern w:val="2"/>
      <w:sz w:val="18"/>
      <w:szCs w:val="18"/>
    </w:rPr>
  </w:style>
  <w:style w:type="character" w:customStyle="1" w:styleId="13">
    <w:name w:val="页脚 字符"/>
    <w:link w:val="4"/>
    <w:qFormat/>
    <w:uiPriority w:val="99"/>
    <w:rPr>
      <w:kern w:val="2"/>
      <w:sz w:val="18"/>
      <w:szCs w:val="18"/>
    </w:rPr>
  </w:style>
  <w:style w:type="character" w:customStyle="1" w:styleId="14">
    <w:name w:val="页眉 字符"/>
    <w:link w:val="5"/>
    <w:semiHidden/>
    <w:qFormat/>
    <w:uiPriority w:val="99"/>
    <w:rPr>
      <w:kern w:val="2"/>
      <w:sz w:val="18"/>
      <w:szCs w:val="18"/>
    </w:rPr>
  </w:style>
  <w:style w:type="character" w:customStyle="1" w:styleId="15">
    <w:name w:val="批注主题 字符"/>
    <w:link w:val="6"/>
    <w:autoRedefine/>
    <w:semiHidden/>
    <w:qFormat/>
    <w:uiPriority w:val="99"/>
    <w:rPr>
      <w:b/>
      <w:bCs/>
      <w:kern w:val="2"/>
      <w:sz w:val="21"/>
      <w:szCs w:val="24"/>
    </w:rPr>
  </w:style>
  <w:style w:type="paragraph" w:customStyle="1" w:styleId="16">
    <w:name w:val="列出段落1"/>
    <w:basedOn w:val="1"/>
    <w:qFormat/>
    <w:uiPriority w:val="34"/>
    <w:pPr>
      <w:ind w:firstLine="420" w:firstLineChars="200"/>
    </w:pPr>
    <w:rPr>
      <w:rFonts w:ascii="Calibri" w:hAnsi="Calibri"/>
      <w:szCs w:val="22"/>
    </w:rPr>
  </w:style>
  <w:style w:type="paragraph" w:customStyle="1" w:styleId="17">
    <w:name w:val="_Style 16"/>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617</Words>
  <Characters>678</Characters>
  <Lines>6</Lines>
  <Paragraphs>1</Paragraphs>
  <TotalTime>6</TotalTime>
  <ScaleCrop>false</ScaleCrop>
  <LinksUpToDate>false</LinksUpToDate>
  <CharactersWithSpaces>688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2004-08-08T03:45:00Z</dcterms:created>
  <dc:creator>wangqiang</dc:creator>
  <cp:lastModifiedBy>一页旧城</cp:lastModifiedBy>
  <cp:lastPrinted>2019-12-07T07:53:00Z</cp:lastPrinted>
  <dcterms:modified xsi:type="dcterms:W3CDTF">2026-10-26T02:34:59Z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4916BA805E03435DA7DFA830EF415837_13</vt:lpwstr>
  </property>
  <property fmtid="{D5CDD505-2E9C-101B-9397-08002B2CF9AE}" pid="4" name="commondata">
    <vt:lpwstr>eyJoZGlkIjoiOTJiNjM1M2Q0Y2NiOWRiYjUwYzYxZTFiZDI3YmE2YjgifQ==</vt:lpwstr>
  </property>
  <property fmtid="{D5CDD505-2E9C-101B-9397-08002B2CF9AE}" pid="5" name="KSOTemplateDocerSaveRecord">
    <vt:lpwstr>eyJoZGlkIjoiZjgyMDYxMTg5YWE2NjBiOGMwOTVlOThkNzEwZTUzMTMiLCJ1c2VySWQiOiIyNzIxMTM0ODcifQ==</vt:lpwstr>
  </property>
</Properties>
</file>